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04E7" w14:textId="01422737" w:rsidR="00741E5A" w:rsidRDefault="00C110EA" w:rsidP="00294D8F">
      <w:pPr>
        <w:spacing w:after="240"/>
        <w:rPr>
          <w:b/>
          <w:bCs/>
        </w:rPr>
      </w:pPr>
      <w:r>
        <w:rPr>
          <w:b/>
          <w:bCs/>
        </w:rPr>
        <w:t xml:space="preserve">Bijlage </w:t>
      </w:r>
      <w:r w:rsidR="00741E5A">
        <w:rPr>
          <w:b/>
          <w:bCs/>
        </w:rPr>
        <w:t>1</w:t>
      </w:r>
      <w:r>
        <w:rPr>
          <w:b/>
          <w:bCs/>
        </w:rPr>
        <w:t xml:space="preserve"> –</w:t>
      </w:r>
      <w:r w:rsidR="00741E5A">
        <w:rPr>
          <w:b/>
          <w:bCs/>
        </w:rPr>
        <w:t xml:space="preserve"> Uiteenzetting Russische tegensancties</w:t>
      </w:r>
    </w:p>
    <w:p w14:paraId="61E723F3" w14:textId="10CDADCC" w:rsidR="00C110EA" w:rsidRDefault="00E24A84" w:rsidP="00294D8F">
      <w:pPr>
        <w:spacing w:after="240"/>
      </w:pPr>
      <w:r>
        <w:t>Inhoud:</w:t>
      </w:r>
    </w:p>
    <w:p w14:paraId="3D912721" w14:textId="75FAA8D0" w:rsidR="00E24A84" w:rsidRDefault="00E24A84" w:rsidP="00E24A84">
      <w:pPr>
        <w:pStyle w:val="Lijstalinea"/>
        <w:numPr>
          <w:ilvl w:val="0"/>
          <w:numId w:val="8"/>
        </w:numPr>
        <w:spacing w:after="240"/>
      </w:pPr>
      <w:r>
        <w:t>Overzicht van valuta- en kapitaalbeperkingen</w:t>
      </w:r>
    </w:p>
    <w:p w14:paraId="62947FE0" w14:textId="16A07057" w:rsidR="00E24A84" w:rsidRDefault="00E24A84" w:rsidP="00E24A84">
      <w:pPr>
        <w:pStyle w:val="Lijstalinea"/>
        <w:numPr>
          <w:ilvl w:val="0"/>
          <w:numId w:val="8"/>
        </w:numPr>
        <w:spacing w:after="240"/>
      </w:pPr>
      <w:r>
        <w:t>Update over transport</w:t>
      </w:r>
    </w:p>
    <w:p w14:paraId="240281D7" w14:textId="167630A2" w:rsidR="00E24A84" w:rsidRPr="00C110EA" w:rsidRDefault="00E24A84" w:rsidP="00E24A84">
      <w:pPr>
        <w:pStyle w:val="Lijstalinea"/>
        <w:numPr>
          <w:ilvl w:val="0"/>
          <w:numId w:val="8"/>
        </w:numPr>
        <w:spacing w:after="240"/>
      </w:pPr>
      <w:r>
        <w:t>Overzicht Russische exportbeperkingen</w:t>
      </w:r>
    </w:p>
    <w:p w14:paraId="46AEFE4B" w14:textId="4AA26244" w:rsidR="00741E5A" w:rsidRPr="001D20A7" w:rsidRDefault="001D20A7" w:rsidP="00294D8F">
      <w:pPr>
        <w:spacing w:after="240"/>
        <w:rPr>
          <w:b/>
          <w:bCs/>
          <w:i/>
          <w:iCs/>
          <w:u w:val="single"/>
        </w:rPr>
      </w:pPr>
      <w:r>
        <w:rPr>
          <w:b/>
          <w:bCs/>
          <w:i/>
          <w:iCs/>
          <w:u w:val="single"/>
        </w:rPr>
        <w:t xml:space="preserve">A. </w:t>
      </w:r>
      <w:r w:rsidR="001138F8" w:rsidRPr="001D20A7">
        <w:rPr>
          <w:b/>
          <w:bCs/>
          <w:i/>
          <w:iCs/>
          <w:u w:val="single"/>
        </w:rPr>
        <w:t>Overzicht van valuta- en kapitaalbeperkingen</w:t>
      </w:r>
    </w:p>
    <w:p w14:paraId="4FB92B1B" w14:textId="3C82BF3D" w:rsidR="008D1B9F" w:rsidRPr="00F72D7A" w:rsidRDefault="00F72D7A" w:rsidP="00294D8F">
      <w:pPr>
        <w:spacing w:after="240"/>
        <w:rPr>
          <w:b/>
          <w:bCs/>
          <w:u w:val="single"/>
        </w:rPr>
      </w:pPr>
      <w:r>
        <w:rPr>
          <w:b/>
          <w:bCs/>
          <w:u w:val="single"/>
        </w:rPr>
        <w:t xml:space="preserve">Bestaand </w:t>
      </w:r>
      <w:r w:rsidR="005A250E">
        <w:rPr>
          <w:b/>
          <w:bCs/>
          <w:u w:val="single"/>
        </w:rPr>
        <w:t>framework van wetgeving en besluiten</w:t>
      </w:r>
    </w:p>
    <w:p w14:paraId="77C79560" w14:textId="4B0669BC" w:rsidR="00374E22" w:rsidRPr="002A2D28" w:rsidRDefault="00374E22" w:rsidP="00294D8F">
      <w:pPr>
        <w:pStyle w:val="Lijstalinea"/>
        <w:numPr>
          <w:ilvl w:val="0"/>
          <w:numId w:val="5"/>
        </w:numPr>
        <w:spacing w:after="240"/>
        <w:rPr>
          <w:lang w:val="en-GB"/>
        </w:rPr>
      </w:pPr>
      <w:r w:rsidRPr="002A2D28">
        <w:rPr>
          <w:b/>
          <w:bCs/>
          <w:lang w:val="en-GB"/>
        </w:rPr>
        <w:t>Presidential Decree No. 126</w:t>
      </w:r>
      <w:r w:rsidRPr="002A2D28">
        <w:rPr>
          <w:lang w:val="en-GB"/>
        </w:rPr>
        <w:t xml:space="preserve"> dated March 18, 2022 “On</w:t>
      </w:r>
      <w:r w:rsidR="002A2D28" w:rsidRPr="002A2D28">
        <w:rPr>
          <w:lang w:val="en-GB"/>
        </w:rPr>
        <w:t xml:space="preserve"> </w:t>
      </w:r>
      <w:r w:rsidRPr="002A2D28">
        <w:rPr>
          <w:lang w:val="en-GB"/>
        </w:rPr>
        <w:t>Additional Temporary Economic Measures to Ensure Financial</w:t>
      </w:r>
      <w:r w:rsidR="002A2D28" w:rsidRPr="002A2D28">
        <w:rPr>
          <w:lang w:val="en-GB"/>
        </w:rPr>
        <w:t xml:space="preserve"> </w:t>
      </w:r>
      <w:r w:rsidRPr="002A2D28">
        <w:rPr>
          <w:lang w:val="en-GB"/>
        </w:rPr>
        <w:t>Stability of the Russian Federation in the Field of Currency</w:t>
      </w:r>
      <w:r w:rsidR="002A2D28" w:rsidRPr="002A2D28">
        <w:rPr>
          <w:lang w:val="en-GB"/>
        </w:rPr>
        <w:t xml:space="preserve"> </w:t>
      </w:r>
      <w:r w:rsidRPr="002A2D28">
        <w:rPr>
          <w:lang w:val="en-GB"/>
        </w:rPr>
        <w:t>Regulation”.</w:t>
      </w:r>
    </w:p>
    <w:p w14:paraId="7840E6D7" w14:textId="57E88633" w:rsidR="00374E22" w:rsidRPr="00374E22" w:rsidRDefault="00374E22" w:rsidP="00294D8F">
      <w:pPr>
        <w:pStyle w:val="Lijstalinea"/>
        <w:numPr>
          <w:ilvl w:val="0"/>
          <w:numId w:val="2"/>
        </w:numPr>
        <w:spacing w:after="240"/>
        <w:rPr>
          <w:lang w:val="en-GB"/>
        </w:rPr>
      </w:pPr>
      <w:r w:rsidRPr="002A2D28">
        <w:rPr>
          <w:b/>
          <w:bCs/>
          <w:lang w:val="en-GB"/>
        </w:rPr>
        <w:t xml:space="preserve">Extract from the Minutes of Meeting of the Sub-commission of the Government Commission for Control over Foreign Investments in Russia No. 7 </w:t>
      </w:r>
      <w:r w:rsidRPr="00374E22">
        <w:rPr>
          <w:lang w:val="en-GB"/>
        </w:rPr>
        <w:t>dated March 10, 2022.</w:t>
      </w:r>
    </w:p>
    <w:p w14:paraId="6CE4C183" w14:textId="42F646EF" w:rsidR="00374E22" w:rsidRPr="00374E22" w:rsidRDefault="00374E22" w:rsidP="00294D8F">
      <w:pPr>
        <w:pStyle w:val="Lijstalinea"/>
        <w:numPr>
          <w:ilvl w:val="0"/>
          <w:numId w:val="2"/>
        </w:numPr>
        <w:spacing w:after="240"/>
        <w:rPr>
          <w:lang w:val="en-GB"/>
        </w:rPr>
      </w:pPr>
      <w:r w:rsidRPr="002A2D28">
        <w:rPr>
          <w:b/>
          <w:bCs/>
          <w:lang w:val="en-GB"/>
        </w:rPr>
        <w:t>CBR Official Explanation No. 2</w:t>
      </w:r>
      <w:r w:rsidRPr="00374E22">
        <w:rPr>
          <w:lang w:val="en-GB"/>
        </w:rPr>
        <w:t>-OP dated March 18, 2022.</w:t>
      </w:r>
    </w:p>
    <w:p w14:paraId="1EE09EBA" w14:textId="658AD15D" w:rsidR="00374E22" w:rsidRPr="00374E22" w:rsidRDefault="00374E22" w:rsidP="00294D8F">
      <w:pPr>
        <w:pStyle w:val="Lijstalinea"/>
        <w:numPr>
          <w:ilvl w:val="0"/>
          <w:numId w:val="2"/>
        </w:numPr>
        <w:spacing w:after="240"/>
        <w:rPr>
          <w:lang w:val="en-GB"/>
        </w:rPr>
      </w:pPr>
      <w:r w:rsidRPr="002A2D28">
        <w:rPr>
          <w:b/>
          <w:bCs/>
          <w:lang w:val="en-GB"/>
        </w:rPr>
        <w:t xml:space="preserve">Decision of the CBR Board of Directors </w:t>
      </w:r>
      <w:r w:rsidRPr="00374E22">
        <w:rPr>
          <w:lang w:val="en-GB"/>
        </w:rPr>
        <w:t>dated April 1, 2022.</w:t>
      </w:r>
    </w:p>
    <w:p w14:paraId="77D7FDC6" w14:textId="7F01641B" w:rsidR="00374E22" w:rsidRPr="00374E22" w:rsidRDefault="00374E22" w:rsidP="00294D8F">
      <w:pPr>
        <w:pStyle w:val="Lijstalinea"/>
        <w:numPr>
          <w:ilvl w:val="0"/>
          <w:numId w:val="2"/>
        </w:numPr>
        <w:spacing w:after="240"/>
        <w:rPr>
          <w:lang w:val="en-GB"/>
        </w:rPr>
      </w:pPr>
      <w:r w:rsidRPr="002A2D28">
        <w:rPr>
          <w:b/>
          <w:bCs/>
          <w:lang w:val="en-GB"/>
        </w:rPr>
        <w:t>Federal laws:</w:t>
      </w:r>
      <w:r w:rsidRPr="00374E22">
        <w:rPr>
          <w:lang w:val="en-GB"/>
        </w:rPr>
        <w:t xml:space="preserve"> No. 127-FZ dated June 4, 2018 (grounds for imposing restrictive measures), No. 272-FZ dated December 28, 2012 (personal sanctions), No. 32-FZ dated March 4, 2022 (criminal and administrative liability).</w:t>
      </w:r>
    </w:p>
    <w:p w14:paraId="568BFB19" w14:textId="2DA0F40A" w:rsidR="00374E22" w:rsidRPr="00374E22" w:rsidRDefault="00374E22" w:rsidP="00294D8F">
      <w:pPr>
        <w:pStyle w:val="Lijstalinea"/>
        <w:numPr>
          <w:ilvl w:val="0"/>
          <w:numId w:val="2"/>
        </w:numPr>
        <w:spacing w:after="240"/>
        <w:rPr>
          <w:lang w:val="en-GB"/>
        </w:rPr>
      </w:pPr>
      <w:r w:rsidRPr="002A2D28">
        <w:rPr>
          <w:b/>
          <w:bCs/>
          <w:lang w:val="en-GB"/>
        </w:rPr>
        <w:t>Presidential Decrees No. 79</w:t>
      </w:r>
      <w:r w:rsidRPr="00374E22">
        <w:rPr>
          <w:lang w:val="en-GB"/>
        </w:rPr>
        <w:t xml:space="preserve"> dated February 28, 2022 (currency operations), </w:t>
      </w:r>
      <w:r w:rsidRPr="002A2D28">
        <w:rPr>
          <w:b/>
          <w:bCs/>
          <w:lang w:val="en-GB"/>
        </w:rPr>
        <w:t>No. 81</w:t>
      </w:r>
      <w:r w:rsidRPr="00374E22">
        <w:rPr>
          <w:lang w:val="en-GB"/>
        </w:rPr>
        <w:t xml:space="preserve"> dated March 1, 2022 (regulated operations and transactions), No. 95 dated March 5, 2022 (procedure for Existing legal framework fulfillment of obligations to certain foreign creditors), No. 100 dated March 8, 2022 (export bans and restrictions).</w:t>
      </w:r>
    </w:p>
    <w:p w14:paraId="5E0063AB" w14:textId="03CBE56F" w:rsidR="00374E22" w:rsidRPr="002A2D28" w:rsidRDefault="00374E22" w:rsidP="00294D8F">
      <w:pPr>
        <w:pStyle w:val="Lijstalinea"/>
        <w:numPr>
          <w:ilvl w:val="0"/>
          <w:numId w:val="2"/>
        </w:numPr>
        <w:spacing w:after="240"/>
        <w:rPr>
          <w:lang w:val="en-GB"/>
        </w:rPr>
      </w:pPr>
      <w:r w:rsidRPr="002A2D28">
        <w:rPr>
          <w:b/>
          <w:bCs/>
          <w:lang w:val="en-GB"/>
        </w:rPr>
        <w:t>Decrees of the Russian Government: No. 295</w:t>
      </w:r>
      <w:r w:rsidRPr="002A2D28">
        <w:rPr>
          <w:lang w:val="en-GB"/>
        </w:rPr>
        <w:t xml:space="preserve"> dated March 06, 2022 (the procedure for issuing permits by the</w:t>
      </w:r>
      <w:r w:rsidR="002A2D28" w:rsidRPr="002A2D28">
        <w:rPr>
          <w:lang w:val="en-GB"/>
        </w:rPr>
        <w:t xml:space="preserve"> </w:t>
      </w:r>
      <w:r w:rsidRPr="002A2D28">
        <w:rPr>
          <w:lang w:val="en-GB"/>
        </w:rPr>
        <w:t xml:space="preserve">Government Commission), </w:t>
      </w:r>
      <w:r w:rsidRPr="002A2D28">
        <w:rPr>
          <w:b/>
          <w:bCs/>
          <w:lang w:val="en-GB"/>
        </w:rPr>
        <w:t>No. 311, 312, 313</w:t>
      </w:r>
      <w:r w:rsidRPr="002A2D28">
        <w:rPr>
          <w:lang w:val="en-GB"/>
        </w:rPr>
        <w:t xml:space="preserve"> dated March 9,</w:t>
      </w:r>
      <w:r w:rsidR="002A2D28" w:rsidRPr="002A2D28">
        <w:rPr>
          <w:lang w:val="en-GB"/>
        </w:rPr>
        <w:t xml:space="preserve"> </w:t>
      </w:r>
      <w:r w:rsidRPr="002A2D28">
        <w:rPr>
          <w:lang w:val="en-GB"/>
        </w:rPr>
        <w:t>2022 (the list of goods prohibited / restricted to export).</w:t>
      </w:r>
      <w:r w:rsidR="002A2D28">
        <w:rPr>
          <w:lang w:val="en-GB"/>
        </w:rPr>
        <w:t xml:space="preserve"> </w:t>
      </w:r>
    </w:p>
    <w:p w14:paraId="604B00E5" w14:textId="65C18046" w:rsidR="00374E22" w:rsidRPr="002A2D28" w:rsidRDefault="00374E22" w:rsidP="00294D8F">
      <w:pPr>
        <w:pStyle w:val="Lijstalinea"/>
        <w:numPr>
          <w:ilvl w:val="0"/>
          <w:numId w:val="2"/>
        </w:numPr>
        <w:spacing w:after="240"/>
        <w:rPr>
          <w:lang w:val="en-GB"/>
        </w:rPr>
      </w:pPr>
      <w:r w:rsidRPr="002A2D28">
        <w:rPr>
          <w:b/>
          <w:bCs/>
          <w:lang w:val="en-GB"/>
        </w:rPr>
        <w:t>Minutes of the Meetings of the Sub-Commission of the</w:t>
      </w:r>
      <w:r w:rsidR="002A2D28" w:rsidRPr="002A2D28">
        <w:rPr>
          <w:b/>
          <w:bCs/>
          <w:lang w:val="en-GB"/>
        </w:rPr>
        <w:t xml:space="preserve"> </w:t>
      </w:r>
      <w:r w:rsidRPr="002A2D28">
        <w:rPr>
          <w:b/>
          <w:bCs/>
          <w:lang w:val="en-GB"/>
        </w:rPr>
        <w:t>Government Commission for the Control of Foreign</w:t>
      </w:r>
      <w:r w:rsidR="002A2D28" w:rsidRPr="002A2D28">
        <w:rPr>
          <w:b/>
          <w:bCs/>
          <w:lang w:val="en-GB"/>
        </w:rPr>
        <w:t xml:space="preserve"> </w:t>
      </w:r>
      <w:r w:rsidRPr="002A2D28">
        <w:rPr>
          <w:b/>
          <w:bCs/>
          <w:lang w:val="en-GB"/>
        </w:rPr>
        <w:t>Investment in the Russian Federation No. 5</w:t>
      </w:r>
      <w:r w:rsidRPr="002A2D28">
        <w:rPr>
          <w:lang w:val="en-GB"/>
        </w:rPr>
        <w:t xml:space="preserve"> dated March 9,</w:t>
      </w:r>
      <w:r w:rsidR="002A2D28" w:rsidRPr="002A2D28">
        <w:rPr>
          <w:lang w:val="en-GB"/>
        </w:rPr>
        <w:t xml:space="preserve"> </w:t>
      </w:r>
      <w:r w:rsidRPr="002A2D28">
        <w:rPr>
          <w:lang w:val="en-GB"/>
        </w:rPr>
        <w:t xml:space="preserve">2022, </w:t>
      </w:r>
      <w:r w:rsidRPr="002A2D28">
        <w:rPr>
          <w:b/>
          <w:bCs/>
          <w:lang w:val="en-GB"/>
        </w:rPr>
        <w:t>No. 7</w:t>
      </w:r>
      <w:r w:rsidRPr="002A2D28">
        <w:rPr>
          <w:lang w:val="en-GB"/>
        </w:rPr>
        <w:t xml:space="preserve"> dated March 10, 2022, </w:t>
      </w:r>
      <w:r w:rsidRPr="002A2D28">
        <w:rPr>
          <w:b/>
          <w:bCs/>
          <w:lang w:val="en-GB"/>
        </w:rPr>
        <w:t>No. 12</w:t>
      </w:r>
      <w:r w:rsidRPr="002A2D28">
        <w:rPr>
          <w:lang w:val="en-GB"/>
        </w:rPr>
        <w:t xml:space="preserve"> dated March 17,</w:t>
      </w:r>
      <w:r w:rsidR="002A2D28" w:rsidRPr="002A2D28">
        <w:rPr>
          <w:lang w:val="en-GB"/>
        </w:rPr>
        <w:t xml:space="preserve"> </w:t>
      </w:r>
      <w:r w:rsidRPr="002A2D28">
        <w:rPr>
          <w:lang w:val="en-GB"/>
        </w:rPr>
        <w:t>2022.</w:t>
      </w:r>
    </w:p>
    <w:p w14:paraId="77EB2741" w14:textId="3F5666A0" w:rsidR="00374E22" w:rsidRPr="002A2D28" w:rsidRDefault="00374E22" w:rsidP="00294D8F">
      <w:pPr>
        <w:pStyle w:val="Lijstalinea"/>
        <w:numPr>
          <w:ilvl w:val="0"/>
          <w:numId w:val="2"/>
        </w:numPr>
        <w:spacing w:after="240"/>
        <w:rPr>
          <w:lang w:val="en-GB"/>
        </w:rPr>
      </w:pPr>
      <w:r w:rsidRPr="002A2D28">
        <w:rPr>
          <w:b/>
          <w:bCs/>
          <w:lang w:val="en-GB"/>
        </w:rPr>
        <w:t>CBR Prescriptions: No. 018-34-3/1202</w:t>
      </w:r>
      <w:r w:rsidRPr="002A2D28">
        <w:rPr>
          <w:lang w:val="en-GB"/>
        </w:rPr>
        <w:t xml:space="preserve"> dated February 28,</w:t>
      </w:r>
      <w:r w:rsidR="002A2D28" w:rsidRPr="002A2D28">
        <w:rPr>
          <w:lang w:val="en-GB"/>
        </w:rPr>
        <w:t xml:space="preserve"> </w:t>
      </w:r>
      <w:r w:rsidRPr="002A2D28">
        <w:rPr>
          <w:lang w:val="en-GB"/>
        </w:rPr>
        <w:t>2022</w:t>
      </w:r>
      <w:r w:rsidRPr="002A2D28">
        <w:rPr>
          <w:b/>
          <w:bCs/>
          <w:lang w:val="en-GB"/>
        </w:rPr>
        <w:t>, No. IN-019-12/21DSP</w:t>
      </w:r>
      <w:r w:rsidRPr="002A2D28">
        <w:rPr>
          <w:lang w:val="en-GB"/>
        </w:rPr>
        <w:t xml:space="preserve"> dated March 01, 2022.</w:t>
      </w:r>
    </w:p>
    <w:p w14:paraId="39A460F9" w14:textId="63BC48CC" w:rsidR="00741E5A" w:rsidRDefault="00374E22" w:rsidP="00294D8F">
      <w:pPr>
        <w:pStyle w:val="Lijstalinea"/>
        <w:numPr>
          <w:ilvl w:val="0"/>
          <w:numId w:val="2"/>
        </w:numPr>
        <w:spacing w:after="240"/>
        <w:rPr>
          <w:lang w:val="en-GB"/>
        </w:rPr>
      </w:pPr>
      <w:r w:rsidRPr="002A2D28">
        <w:rPr>
          <w:b/>
          <w:bCs/>
          <w:lang w:val="en-GB"/>
        </w:rPr>
        <w:t>Decisions of the CBR Board of Directors</w:t>
      </w:r>
      <w:r w:rsidRPr="002A2D28">
        <w:rPr>
          <w:lang w:val="en-GB"/>
        </w:rPr>
        <w:t xml:space="preserve"> dated March 8, 2022,</w:t>
      </w:r>
      <w:r w:rsidR="002A2D28" w:rsidRPr="002A2D28">
        <w:rPr>
          <w:lang w:val="en-GB"/>
        </w:rPr>
        <w:t xml:space="preserve"> </w:t>
      </w:r>
      <w:r w:rsidRPr="002A2D28">
        <w:rPr>
          <w:lang w:val="en-GB"/>
        </w:rPr>
        <w:t>March 18, 2022.</w:t>
      </w:r>
    </w:p>
    <w:p w14:paraId="49419C44" w14:textId="5FFA6636" w:rsidR="00032F0E" w:rsidRPr="00F72D7A" w:rsidRDefault="00294D8F" w:rsidP="00294D8F">
      <w:pPr>
        <w:spacing w:after="240"/>
        <w:rPr>
          <w:b/>
          <w:bCs/>
          <w:u w:val="single"/>
        </w:rPr>
      </w:pPr>
      <w:r w:rsidRPr="00F72D7A">
        <w:rPr>
          <w:b/>
          <w:bCs/>
          <w:u w:val="single"/>
        </w:rPr>
        <w:t>Bottlenecks in de toepassing van de bestaande maatregelen:</w:t>
      </w:r>
    </w:p>
    <w:p w14:paraId="242FFFC2" w14:textId="777952D3" w:rsidR="00294D8F" w:rsidRDefault="003863AB" w:rsidP="00294D8F">
      <w:pPr>
        <w:pStyle w:val="Lijstalinea"/>
        <w:numPr>
          <w:ilvl w:val="0"/>
          <w:numId w:val="1"/>
        </w:numPr>
        <w:spacing w:after="240"/>
      </w:pPr>
      <w:r>
        <w:t xml:space="preserve">Er bestaat onduidelijkheid over de hiërarchie van de verschillende </w:t>
      </w:r>
      <w:r w:rsidR="007E45EB">
        <w:t xml:space="preserve">wetgevingen </w:t>
      </w:r>
    </w:p>
    <w:p w14:paraId="046B5E72" w14:textId="1DA21A1C" w:rsidR="007E45EB" w:rsidRDefault="0059080D" w:rsidP="00294D8F">
      <w:pPr>
        <w:pStyle w:val="Lijstalinea"/>
        <w:numPr>
          <w:ilvl w:val="0"/>
          <w:numId w:val="1"/>
        </w:numPr>
        <w:spacing w:after="240"/>
      </w:pPr>
      <w:r>
        <w:t>Het ontbreekt in de wetteksten aan technische specificatie en duidelijkheid. Hierdoor is het onduidelijk hoe de maatregelen geïnterpreteerd en toegepast moeten worden.</w:t>
      </w:r>
    </w:p>
    <w:p w14:paraId="6ED064FB" w14:textId="442D092A" w:rsidR="0059080D" w:rsidRDefault="009A5F44" w:rsidP="00294D8F">
      <w:pPr>
        <w:pStyle w:val="Lijstalinea"/>
        <w:numPr>
          <w:ilvl w:val="0"/>
          <w:numId w:val="1"/>
        </w:numPr>
        <w:spacing w:after="240"/>
      </w:pPr>
      <w:r>
        <w:t xml:space="preserve">Zowel private partijen als publieke instanties houden een voorzichtige benadering aan bij de interpretatie van </w:t>
      </w:r>
      <w:r w:rsidR="00B02298">
        <w:t>maatregelen, waardoor de maatregelen strikter worden uitgevoerd in de praktijk</w:t>
      </w:r>
      <w:r w:rsidR="009B112A">
        <w:t xml:space="preserve"> dan waar de maatregelen aanleiding tot geven.</w:t>
      </w:r>
    </w:p>
    <w:p w14:paraId="1E66EFEC" w14:textId="2A875F50" w:rsidR="00F64B12" w:rsidRDefault="009B112A" w:rsidP="00F64B12">
      <w:pPr>
        <w:pStyle w:val="Lijstalinea"/>
        <w:numPr>
          <w:ilvl w:val="0"/>
          <w:numId w:val="1"/>
        </w:numPr>
        <w:spacing w:after="240"/>
      </w:pPr>
      <w:r>
        <w:t>Er wordt minder gekeken naar de letterlijke tekst en de inhoud van de maatregelen, en meer naar de intentie van de wetgever</w:t>
      </w:r>
      <w:r w:rsidR="00F64B12">
        <w:t>.</w:t>
      </w:r>
    </w:p>
    <w:p w14:paraId="2660457C" w14:textId="7FDA03F6" w:rsidR="00F64B12" w:rsidRPr="00F72D7A" w:rsidRDefault="00CB3D05" w:rsidP="00F64B12">
      <w:pPr>
        <w:spacing w:after="240"/>
        <w:rPr>
          <w:b/>
          <w:bCs/>
          <w:u w:val="single"/>
        </w:rPr>
      </w:pPr>
      <w:r w:rsidRPr="00F72D7A">
        <w:rPr>
          <w:b/>
          <w:bCs/>
          <w:u w:val="single"/>
        </w:rPr>
        <w:t>Belangrijke definities</w:t>
      </w:r>
    </w:p>
    <w:p w14:paraId="69D6F1DF" w14:textId="35287014" w:rsidR="00CB3D05" w:rsidRDefault="00CB3D05" w:rsidP="00CB3D05">
      <w:pPr>
        <w:pStyle w:val="Lijstalinea"/>
        <w:numPr>
          <w:ilvl w:val="0"/>
          <w:numId w:val="1"/>
        </w:numPr>
        <w:spacing w:after="240"/>
      </w:pPr>
      <w:r>
        <w:rPr>
          <w:b/>
          <w:bCs/>
        </w:rPr>
        <w:t>‘Onvriendelijke’ staten</w:t>
      </w:r>
      <w:r>
        <w:t xml:space="preserve"> – de VS, EU-lidstaten, Canada, Groot-Brittannië, </w:t>
      </w:r>
      <w:r w:rsidR="00CF00DD">
        <w:t>en andere staten die unilaterale sancties of andere maatregelen hebben ingesteld tegen Rusland, Russische burgers en Russische rechtspersonen.</w:t>
      </w:r>
    </w:p>
    <w:p w14:paraId="4C1A22FA" w14:textId="00F8A202" w:rsidR="007C47CF" w:rsidRDefault="00CF00DD" w:rsidP="007C47CF">
      <w:pPr>
        <w:pStyle w:val="Lijstalinea"/>
        <w:numPr>
          <w:ilvl w:val="0"/>
          <w:numId w:val="1"/>
        </w:numPr>
        <w:spacing w:after="240"/>
      </w:pPr>
      <w:r>
        <w:rPr>
          <w:b/>
          <w:bCs/>
        </w:rPr>
        <w:t>‘Vriendelijke’ staten</w:t>
      </w:r>
      <w:r>
        <w:t xml:space="preserve"> </w:t>
      </w:r>
      <w:r w:rsidR="007C47CF">
        <w:t>–</w:t>
      </w:r>
      <w:r>
        <w:t xml:space="preserve"> </w:t>
      </w:r>
      <w:r w:rsidR="007C47CF">
        <w:t>alle andere staten die niet als ‘onvriendelijk’ land kwalificeren.</w:t>
      </w:r>
    </w:p>
    <w:p w14:paraId="5A549B3B" w14:textId="6B79E7D8" w:rsidR="009F67C4" w:rsidRDefault="007C47CF" w:rsidP="009F67C4">
      <w:pPr>
        <w:pStyle w:val="Lijstalinea"/>
        <w:numPr>
          <w:ilvl w:val="0"/>
          <w:numId w:val="1"/>
        </w:numPr>
        <w:spacing w:after="240"/>
      </w:pPr>
      <w:r>
        <w:rPr>
          <w:b/>
          <w:bCs/>
        </w:rPr>
        <w:lastRenderedPageBreak/>
        <w:t>Ingezetene (resident)</w:t>
      </w:r>
      <w:r>
        <w:t xml:space="preserve"> </w:t>
      </w:r>
      <w:r w:rsidR="00D72AD1">
        <w:t>–</w:t>
      </w:r>
      <w:r>
        <w:t xml:space="preserve"> </w:t>
      </w:r>
      <w:r w:rsidR="00D72AD1">
        <w:t xml:space="preserve">(i) Russische staatsburgers, (ii) buitenlandse staatsburgers en staatloze personen die permanent in Rusland verblijven </w:t>
      </w:r>
      <w:r w:rsidR="008F5B82">
        <w:t xml:space="preserve">op grond van een verblijfsvergunning, (iii) rechtspersonen die zijn gevestigd in Rusland (met uitzondering van buitenlandse rechtspersonen </w:t>
      </w:r>
      <w:r w:rsidR="00516CCE">
        <w:t xml:space="preserve">die zijn geregistreerd overeenkomstig de federale wet </w:t>
      </w:r>
      <w:r w:rsidR="00516CCE">
        <w:rPr>
          <w:b/>
          <w:bCs/>
        </w:rPr>
        <w:t>“</w:t>
      </w:r>
      <w:hyperlink r:id="rId5" w:history="1">
        <w:r w:rsidR="005433F8" w:rsidRPr="005433F8">
          <w:rPr>
            <w:rStyle w:val="Hyperlink"/>
            <w:b/>
            <w:bCs/>
          </w:rPr>
          <w:t>About</w:t>
        </w:r>
        <w:r w:rsidR="00516CCE" w:rsidRPr="005433F8">
          <w:rPr>
            <w:rStyle w:val="Hyperlink"/>
            <w:b/>
            <w:bCs/>
          </w:rPr>
          <w:t xml:space="preserve"> international Companies and International Funds</w:t>
        </w:r>
      </w:hyperlink>
      <w:r w:rsidR="00516CCE">
        <w:rPr>
          <w:b/>
          <w:bCs/>
        </w:rPr>
        <w:t>”</w:t>
      </w:r>
      <w:r w:rsidR="00516CCE">
        <w:t>)</w:t>
      </w:r>
      <w:r w:rsidR="00B92BF2">
        <w:t xml:space="preserve">, vestigingen, vertegenwoordigende kantoren en andere subdivisies van zulke rechtspersonen </w:t>
      </w:r>
      <w:r w:rsidR="00561662">
        <w:t xml:space="preserve">die zich buiten Rusland bevinden. </w:t>
      </w:r>
      <w:r w:rsidR="00561662">
        <w:rPr>
          <w:b/>
          <w:bCs/>
        </w:rPr>
        <w:t>N.B.</w:t>
      </w:r>
      <w:r w:rsidR="00561662">
        <w:t xml:space="preserve"> Russische staatsburgers die </w:t>
      </w:r>
      <w:r w:rsidR="009F67C4">
        <w:t>ook een andere nationaliteit bezit valt ook binnen deze definitie.</w:t>
      </w:r>
    </w:p>
    <w:p w14:paraId="3EC046F9" w14:textId="0BA7D851" w:rsidR="009F67C4" w:rsidRDefault="009F67C4" w:rsidP="009F67C4">
      <w:pPr>
        <w:pStyle w:val="Lijstalinea"/>
        <w:numPr>
          <w:ilvl w:val="0"/>
          <w:numId w:val="1"/>
        </w:numPr>
        <w:spacing w:after="240"/>
      </w:pPr>
      <w:r>
        <w:rPr>
          <w:b/>
          <w:bCs/>
        </w:rPr>
        <w:t>Niet-ingezetene</w:t>
      </w:r>
      <w:r>
        <w:t xml:space="preserve"> </w:t>
      </w:r>
      <w:r w:rsidR="00013AC9">
        <w:t>–</w:t>
      </w:r>
      <w:r>
        <w:t xml:space="preserve"> </w:t>
      </w:r>
      <w:r w:rsidR="00013AC9">
        <w:t>buitenlandse natuurlijke personen en rechtspersonen die niet als ingezetene kwalificeren.</w:t>
      </w:r>
    </w:p>
    <w:p w14:paraId="41225E7D" w14:textId="6A0EABD2" w:rsidR="00013AC9" w:rsidRDefault="00013AC9" w:rsidP="009F67C4">
      <w:pPr>
        <w:pStyle w:val="Lijstalinea"/>
        <w:numPr>
          <w:ilvl w:val="0"/>
          <w:numId w:val="1"/>
        </w:numPr>
        <w:spacing w:after="240"/>
      </w:pPr>
      <w:r>
        <w:rPr>
          <w:b/>
          <w:bCs/>
        </w:rPr>
        <w:t>Controlled person</w:t>
      </w:r>
      <w:r>
        <w:t xml:space="preserve"> </w:t>
      </w:r>
      <w:r w:rsidR="0005392A">
        <w:t>–</w:t>
      </w:r>
      <w:r>
        <w:t xml:space="preserve"> </w:t>
      </w:r>
      <w:r w:rsidR="0005392A">
        <w:t xml:space="preserve">ingezetene die </w:t>
      </w:r>
      <w:r w:rsidR="006C287F">
        <w:rPr>
          <w:i/>
          <w:iCs/>
        </w:rPr>
        <w:t>under control</w:t>
      </w:r>
      <w:r w:rsidR="006C287F">
        <w:t xml:space="preserve"> is van een niet-ingezetene die geassocieerd is met onvriendelijke staten, ongeacht de </w:t>
      </w:r>
      <w:r w:rsidR="00F72D7A">
        <w:t xml:space="preserve">plaats van registratie, oprichting of de plaats waar deze voornamelijk economische activiteiten bedrijft. </w:t>
      </w:r>
    </w:p>
    <w:p w14:paraId="4FE299AA" w14:textId="4414F227" w:rsidR="003B661B" w:rsidRPr="00831023" w:rsidRDefault="003B661B" w:rsidP="009F67C4">
      <w:pPr>
        <w:pStyle w:val="Lijstalinea"/>
        <w:numPr>
          <w:ilvl w:val="0"/>
          <w:numId w:val="1"/>
        </w:numPr>
        <w:spacing w:after="240"/>
        <w:rPr>
          <w:lang w:val="en-GB"/>
        </w:rPr>
      </w:pPr>
      <w:r w:rsidRPr="006F240B">
        <w:rPr>
          <w:b/>
          <w:bCs/>
          <w:lang w:val="en-GB"/>
        </w:rPr>
        <w:t>Sub-Commission</w:t>
      </w:r>
      <w:r w:rsidRPr="006F240B">
        <w:rPr>
          <w:lang w:val="en-GB"/>
        </w:rPr>
        <w:t xml:space="preserve"> </w:t>
      </w:r>
      <w:r w:rsidR="006F240B" w:rsidRPr="006F240B">
        <w:rPr>
          <w:lang w:val="en-GB"/>
        </w:rPr>
        <w:t>–</w:t>
      </w:r>
      <w:r w:rsidRPr="006F240B">
        <w:rPr>
          <w:lang w:val="en-GB"/>
        </w:rPr>
        <w:t xml:space="preserve"> </w:t>
      </w:r>
      <w:r w:rsidR="006F240B" w:rsidRPr="006F240B">
        <w:rPr>
          <w:lang w:val="en-GB"/>
        </w:rPr>
        <w:t xml:space="preserve">Sub-Commissie van de </w:t>
      </w:r>
      <w:r w:rsidR="006F240B" w:rsidRPr="006F240B">
        <w:rPr>
          <w:i/>
          <w:iCs/>
          <w:lang w:val="en-GB"/>
        </w:rPr>
        <w:t>Government Commissino for th</w:t>
      </w:r>
      <w:r w:rsidR="006F240B">
        <w:rPr>
          <w:i/>
          <w:iCs/>
          <w:lang w:val="en-GB"/>
        </w:rPr>
        <w:t>e Control of Foreign Investments.</w:t>
      </w:r>
    </w:p>
    <w:p w14:paraId="729A8D05" w14:textId="5AB15638" w:rsidR="00831023" w:rsidRDefault="007C344D" w:rsidP="00831023">
      <w:pPr>
        <w:spacing w:after="240"/>
        <w:rPr>
          <w:u w:val="single"/>
        </w:rPr>
      </w:pPr>
      <w:r w:rsidRPr="007C344D">
        <w:rPr>
          <w:b/>
          <w:bCs/>
          <w:u w:val="single"/>
        </w:rPr>
        <w:t>Het faciliteren van krediet door R</w:t>
      </w:r>
      <w:r>
        <w:rPr>
          <w:b/>
          <w:bCs/>
          <w:u w:val="single"/>
        </w:rPr>
        <w:t>ussische ingezetenen</w:t>
      </w:r>
    </w:p>
    <w:p w14:paraId="60459BE0" w14:textId="63555BCF" w:rsidR="007C344D" w:rsidRDefault="00E64C07" w:rsidP="007C344D">
      <w:pPr>
        <w:pStyle w:val="Lijstalinea"/>
        <w:numPr>
          <w:ilvl w:val="0"/>
          <w:numId w:val="1"/>
        </w:numPr>
        <w:spacing w:after="240"/>
      </w:pPr>
      <w:r>
        <w:rPr>
          <w:b/>
          <w:bCs/>
        </w:rPr>
        <w:t>Afhankelijk van een voorafgaande vergunning van de Sub-Commission</w:t>
      </w:r>
    </w:p>
    <w:p w14:paraId="5CAFF1A2" w14:textId="535E5E7A" w:rsidR="00E64C07" w:rsidRDefault="00E64C07" w:rsidP="00E64C07">
      <w:pPr>
        <w:pStyle w:val="Lijstalinea"/>
        <w:numPr>
          <w:ilvl w:val="1"/>
          <w:numId w:val="1"/>
        </w:numPr>
        <w:spacing w:after="240"/>
      </w:pPr>
      <w:r>
        <w:t xml:space="preserve">Leningen in roebels </w:t>
      </w:r>
      <w:r w:rsidR="001F6D74">
        <w:t>van ingezetenen aan niet-ingezetenen uit onvriendelijke staten.</w:t>
      </w:r>
    </w:p>
    <w:p w14:paraId="665B5771" w14:textId="6B8605CF" w:rsidR="001F6D74" w:rsidRDefault="001F6D74" w:rsidP="00E64C07">
      <w:pPr>
        <w:pStyle w:val="Lijstalinea"/>
        <w:numPr>
          <w:ilvl w:val="1"/>
          <w:numId w:val="1"/>
        </w:numPr>
        <w:spacing w:after="240"/>
      </w:pPr>
      <w:r>
        <w:t>Leningen in buitenlandse valuta van ingezetenen aan niet-ingezetenen.</w:t>
      </w:r>
    </w:p>
    <w:p w14:paraId="0F99CA44" w14:textId="6A2C608A" w:rsidR="001F6D74" w:rsidRDefault="001F6D74" w:rsidP="001F6D74">
      <w:pPr>
        <w:pStyle w:val="Lijstalinea"/>
        <w:numPr>
          <w:ilvl w:val="0"/>
          <w:numId w:val="1"/>
        </w:numPr>
        <w:spacing w:after="240"/>
      </w:pPr>
      <w:r>
        <w:rPr>
          <w:b/>
          <w:bCs/>
        </w:rPr>
        <w:t>Toegestaan</w:t>
      </w:r>
    </w:p>
    <w:p w14:paraId="438074DC" w14:textId="0755D910" w:rsidR="001F6D74" w:rsidRDefault="001F6D74" w:rsidP="001F6D74">
      <w:pPr>
        <w:pStyle w:val="Lijstalinea"/>
        <w:numPr>
          <w:ilvl w:val="1"/>
          <w:numId w:val="1"/>
        </w:numPr>
        <w:spacing w:after="240"/>
      </w:pPr>
      <w:r>
        <w:t xml:space="preserve">Leningen in roebels van ingezetenen aan </w:t>
      </w:r>
      <w:r>
        <w:rPr>
          <w:i/>
          <w:iCs/>
        </w:rPr>
        <w:t>controlled personens</w:t>
      </w:r>
      <w:r>
        <w:t xml:space="preserve"> </w:t>
      </w:r>
      <w:r w:rsidR="00BE7EEA">
        <w:t>of niet-ingezetenen uit vriendelijke staten of ingezetenen.</w:t>
      </w:r>
    </w:p>
    <w:p w14:paraId="0375000D" w14:textId="2D9B81D6" w:rsidR="00BE7EEA" w:rsidRDefault="00BE7EEA" w:rsidP="001F6D74">
      <w:pPr>
        <w:pStyle w:val="Lijstalinea"/>
        <w:numPr>
          <w:ilvl w:val="1"/>
          <w:numId w:val="1"/>
        </w:numPr>
        <w:spacing w:after="240"/>
      </w:pPr>
      <w:r>
        <w:t>Leningen in roebels of buitenlandse valuta van niet-ingezetenen uit vriendelijke of onvriendelijke staten aan ingezetenen.</w:t>
      </w:r>
    </w:p>
    <w:p w14:paraId="41D0BC98" w14:textId="4AB3700E" w:rsidR="001F75FD" w:rsidRDefault="001F75FD" w:rsidP="001F75FD">
      <w:pPr>
        <w:spacing w:after="240"/>
      </w:pPr>
      <w:r>
        <w:rPr>
          <w:b/>
          <w:bCs/>
          <w:u w:val="single"/>
        </w:rPr>
        <w:t xml:space="preserve">Het aflossen van leningen of andere financiële instrumenten en andere financiële transacties door </w:t>
      </w:r>
      <w:r w:rsidR="001870A1">
        <w:rPr>
          <w:b/>
          <w:bCs/>
          <w:u w:val="single"/>
        </w:rPr>
        <w:t>ingezetenen en niet-ingezetenen</w:t>
      </w:r>
    </w:p>
    <w:p w14:paraId="60DEAF36" w14:textId="6CFD8E8D" w:rsidR="001870A1" w:rsidRDefault="001870A1" w:rsidP="001870A1">
      <w:pPr>
        <w:pStyle w:val="Lijstalinea"/>
        <w:numPr>
          <w:ilvl w:val="0"/>
          <w:numId w:val="1"/>
        </w:numPr>
        <w:spacing w:after="240"/>
      </w:pPr>
      <w:r>
        <w:rPr>
          <w:b/>
          <w:bCs/>
        </w:rPr>
        <w:t>Toegestane afbetalingen</w:t>
      </w:r>
    </w:p>
    <w:p w14:paraId="5652B64D" w14:textId="195D1606" w:rsidR="001870A1" w:rsidRDefault="001870A1" w:rsidP="001870A1">
      <w:pPr>
        <w:pStyle w:val="Lijstalinea"/>
        <w:numPr>
          <w:ilvl w:val="1"/>
          <w:numId w:val="1"/>
        </w:numPr>
        <w:spacing w:after="240"/>
      </w:pPr>
      <w:r>
        <w:t xml:space="preserve">In roebels door </w:t>
      </w:r>
      <w:r w:rsidR="00580C04">
        <w:t>elke persoon aan ingezetenen</w:t>
      </w:r>
    </w:p>
    <w:p w14:paraId="2322ABBD" w14:textId="7CCFF2FD" w:rsidR="00580C04" w:rsidRDefault="00580C04" w:rsidP="001870A1">
      <w:pPr>
        <w:pStyle w:val="Lijstalinea"/>
        <w:numPr>
          <w:ilvl w:val="1"/>
          <w:numId w:val="1"/>
        </w:numPr>
        <w:spacing w:after="240"/>
      </w:pPr>
      <w:r>
        <w:t>In buitenlandse valuta door niet-ingezeten uit vriendelijke en onvriendelijke staten aan ingezetenen</w:t>
      </w:r>
    </w:p>
    <w:p w14:paraId="50A9E20C" w14:textId="767614C4" w:rsidR="00580C04" w:rsidRDefault="00580C04" w:rsidP="001870A1">
      <w:pPr>
        <w:pStyle w:val="Lijstalinea"/>
        <w:numPr>
          <w:ilvl w:val="1"/>
          <w:numId w:val="1"/>
        </w:numPr>
        <w:spacing w:after="240"/>
      </w:pPr>
      <w:r>
        <w:t xml:space="preserve">In roebels of buitenlandse valuta door ingezetenen aan niet-ingezetenen uit vriendelijke staten. </w:t>
      </w:r>
      <w:r w:rsidR="001D43D8">
        <w:rPr>
          <w:i/>
          <w:iCs/>
        </w:rPr>
        <w:t>Er kunnen zich in de praktijk beperkingen voordoen</w:t>
      </w:r>
      <w:r w:rsidR="001D43D8">
        <w:t>.</w:t>
      </w:r>
    </w:p>
    <w:p w14:paraId="2B078D3A" w14:textId="0732EAA1" w:rsidR="001D43D8" w:rsidRDefault="001D43D8" w:rsidP="001870A1">
      <w:pPr>
        <w:pStyle w:val="Lijstalinea"/>
        <w:numPr>
          <w:ilvl w:val="1"/>
          <w:numId w:val="1"/>
        </w:numPr>
        <w:spacing w:after="240"/>
      </w:pPr>
      <w:r>
        <w:t>In buitenlandse valuta door ingezetenen aan niet-ingezetenen van onvriendelijke staten</w:t>
      </w:r>
      <w:r w:rsidR="004D4820">
        <w:t xml:space="preserve"> beneden de overeenkomstige </w:t>
      </w:r>
      <w:r w:rsidR="00A42B3E">
        <w:t>waarde van de buitenlandse valuta van 10 miljoen roebels per maand.</w:t>
      </w:r>
    </w:p>
    <w:p w14:paraId="475FDE0E" w14:textId="46FFBF68" w:rsidR="00CD1721" w:rsidRDefault="00CD1721" w:rsidP="00CD1721">
      <w:pPr>
        <w:pStyle w:val="Lijstalinea"/>
        <w:numPr>
          <w:ilvl w:val="0"/>
          <w:numId w:val="1"/>
        </w:numPr>
        <w:spacing w:after="240"/>
      </w:pPr>
      <w:r>
        <w:rPr>
          <w:b/>
          <w:bCs/>
        </w:rPr>
        <w:t>Transacties afhankelijk van voorafgaande vergunning van de Centrale Bank van Rusland</w:t>
      </w:r>
    </w:p>
    <w:p w14:paraId="3BBAD687" w14:textId="5B5AC79E" w:rsidR="00185F16" w:rsidRDefault="005C4DFA" w:rsidP="00CD1721">
      <w:pPr>
        <w:pStyle w:val="Lijstalinea"/>
        <w:numPr>
          <w:ilvl w:val="1"/>
          <w:numId w:val="1"/>
        </w:numPr>
        <w:spacing w:after="240"/>
      </w:pPr>
      <w:r>
        <w:t xml:space="preserve">Betalingen van ingezetenen voor </w:t>
      </w:r>
      <w:r w:rsidR="00027EFE">
        <w:rPr>
          <w:i/>
          <w:iCs/>
        </w:rPr>
        <w:t>participatory shares</w:t>
      </w:r>
      <w:r w:rsidR="00027EFE">
        <w:t xml:space="preserve"> (dit is een juridisch begrip dat alleen in Rusland en voormalige Sovjetlanden voor lijkt te komen; </w:t>
      </w:r>
      <w:r w:rsidR="00185F16">
        <w:t xml:space="preserve">het lijkt te gaan om </w:t>
      </w:r>
      <w:r w:rsidR="00123CBB">
        <w:t xml:space="preserve">een aparte vorm van </w:t>
      </w:r>
      <w:r w:rsidR="00185F16">
        <w:t xml:space="preserve">aandelen </w:t>
      </w:r>
      <w:r w:rsidR="00BC425A">
        <w:t>die overeenkomen met een deelname in een maatschap</w:t>
      </w:r>
      <w:r w:rsidR="00063F6D">
        <w:t>, VOF etc.)</w:t>
      </w:r>
      <w:r w:rsidR="00D862FB">
        <w:t xml:space="preserve">, contributies, </w:t>
      </w:r>
      <w:r w:rsidR="003D0B2B" w:rsidRPr="00543C3E">
        <w:rPr>
          <w:i/>
          <w:iCs/>
        </w:rPr>
        <w:t>equity interest</w:t>
      </w:r>
      <w:r w:rsidR="003D0B2B">
        <w:t xml:space="preserve"> </w:t>
      </w:r>
      <w:r w:rsidR="000555DF">
        <w:t xml:space="preserve">in </w:t>
      </w:r>
      <w:r w:rsidR="002517D8">
        <w:t>vastgoed van een niet-ingezeten rechtspersoon (niet van toepassing op beurstransacties).</w:t>
      </w:r>
    </w:p>
    <w:p w14:paraId="5C5EC176" w14:textId="6BF2D274" w:rsidR="00CD1721" w:rsidRDefault="002517D8" w:rsidP="00CD1721">
      <w:pPr>
        <w:pStyle w:val="Lijstalinea"/>
        <w:numPr>
          <w:ilvl w:val="1"/>
          <w:numId w:val="1"/>
        </w:numPr>
        <w:spacing w:after="240"/>
      </w:pPr>
      <w:r>
        <w:t>Contributie</w:t>
      </w:r>
      <w:r w:rsidR="00543C3E">
        <w:t>s</w:t>
      </w:r>
      <w:r>
        <w:t xml:space="preserve"> </w:t>
      </w:r>
      <w:r w:rsidR="00543C3E">
        <w:t xml:space="preserve">van ingezetenen aan niet-ingezetenen onder een </w:t>
      </w:r>
      <w:r w:rsidR="00543C3E">
        <w:rPr>
          <w:i/>
          <w:iCs/>
        </w:rPr>
        <w:t>general partnership</w:t>
      </w:r>
      <w:r w:rsidR="00543C3E">
        <w:t xml:space="preserve"> of joint venture overeenkomst.</w:t>
      </w:r>
    </w:p>
    <w:p w14:paraId="5D80AEE4" w14:textId="0FF23D40" w:rsidR="00155502" w:rsidRDefault="00155502" w:rsidP="00155502">
      <w:pPr>
        <w:spacing w:after="240"/>
      </w:pPr>
      <w:r>
        <w:rPr>
          <w:b/>
          <w:bCs/>
          <w:u w:val="single"/>
        </w:rPr>
        <w:t>Overige beperkingen met betrekking tot buitenlandse valuta</w:t>
      </w:r>
    </w:p>
    <w:p w14:paraId="5B247A05" w14:textId="0C7065AA" w:rsidR="00367F5E" w:rsidRDefault="00367F5E" w:rsidP="00155502">
      <w:pPr>
        <w:spacing w:after="240"/>
      </w:pPr>
      <w:r>
        <w:rPr>
          <w:b/>
          <w:bCs/>
        </w:rPr>
        <w:t>Toegestane buitenlandse valutahandelingen</w:t>
      </w:r>
    </w:p>
    <w:p w14:paraId="4EF8E773" w14:textId="0C5654F4" w:rsidR="00367F5E" w:rsidRDefault="00367F5E" w:rsidP="00367F5E">
      <w:pPr>
        <w:pStyle w:val="Lijstalinea"/>
        <w:numPr>
          <w:ilvl w:val="0"/>
          <w:numId w:val="1"/>
        </w:numPr>
        <w:spacing w:after="240"/>
      </w:pPr>
      <w:r>
        <w:lastRenderedPageBreak/>
        <w:t xml:space="preserve">Ingezetenen kunnen </w:t>
      </w:r>
      <w:r w:rsidR="00BA3FCA">
        <w:t xml:space="preserve">buitenlandse valuta naar buitenlandse rekeningen voor het financieren van doorlopende activiteiten van </w:t>
      </w:r>
      <w:r w:rsidR="009109F0">
        <w:t xml:space="preserve">hun </w:t>
      </w:r>
      <w:r w:rsidR="00BA3FCA">
        <w:t>vestigingen en vertegenwoordigende kantoren</w:t>
      </w:r>
      <w:r w:rsidR="009109F0">
        <w:t xml:space="preserve">, </w:t>
      </w:r>
      <w:r w:rsidR="00EB63C3">
        <w:t>niet hoger dan het bedrag aan financiering uit het voorgaande jaar.</w:t>
      </w:r>
    </w:p>
    <w:p w14:paraId="6705DD9E" w14:textId="4FF96909" w:rsidR="00EB63C3" w:rsidRDefault="00EB63C3" w:rsidP="00367F5E">
      <w:pPr>
        <w:pStyle w:val="Lijstalinea"/>
        <w:numPr>
          <w:ilvl w:val="0"/>
          <w:numId w:val="1"/>
        </w:numPr>
        <w:spacing w:after="240"/>
      </w:pPr>
      <w:r>
        <w:t xml:space="preserve">Niet-ingezetenen </w:t>
      </w:r>
      <w:r w:rsidR="00210A3C">
        <w:t xml:space="preserve">kunnen krediet verstrekken in buitenlandse valuta aan de buitenlandse rekeningen (deposito’s) van </w:t>
      </w:r>
      <w:r w:rsidR="007D1889">
        <w:t>individuele ingezetenen in de vorm van loon, huur, rentebetalingen, dividenden en andere interestbetalingen.</w:t>
      </w:r>
    </w:p>
    <w:p w14:paraId="02BEF8E7" w14:textId="2C51A17D" w:rsidR="00D34427" w:rsidRDefault="007D1889" w:rsidP="00AF7058">
      <w:pPr>
        <w:pStyle w:val="Lijstalinea"/>
        <w:numPr>
          <w:ilvl w:val="0"/>
          <w:numId w:val="1"/>
        </w:numPr>
        <w:spacing w:after="240"/>
      </w:pPr>
      <w:r>
        <w:t xml:space="preserve">Individuele </w:t>
      </w:r>
      <w:r w:rsidR="008D05F6">
        <w:t>ingezetenen kunnen kapitaaltransacties in buitenlandse valuta verrichten van een buitenlandse rekening die is geopend voor 1 maart 2022</w:t>
      </w:r>
      <w:r w:rsidR="002C5888">
        <w:t xml:space="preserve"> naar een andere ingezetene, mits informatie over dergelijke rekeningen is gemeld aan de Russische belastingdienst. </w:t>
      </w:r>
    </w:p>
    <w:p w14:paraId="7430480C" w14:textId="18C1B6B3" w:rsidR="003C6054" w:rsidRPr="006B0147" w:rsidRDefault="003C6054" w:rsidP="00AF7058">
      <w:pPr>
        <w:spacing w:after="240"/>
      </w:pPr>
      <w:r w:rsidRPr="006B0147">
        <w:rPr>
          <w:b/>
          <w:bCs/>
        </w:rPr>
        <w:t>Beperkingen met betrekking tot maandelijkse transacties in buitenlandse valuta buiten Rusland</w:t>
      </w:r>
    </w:p>
    <w:p w14:paraId="5A8AA89F" w14:textId="6670A31A" w:rsidR="003C6054" w:rsidRDefault="00BD50E0" w:rsidP="003C6054">
      <w:pPr>
        <w:pStyle w:val="Lijstalinea"/>
        <w:numPr>
          <w:ilvl w:val="0"/>
          <w:numId w:val="1"/>
        </w:numPr>
        <w:spacing w:after="240"/>
      </w:pPr>
      <w:r>
        <w:t xml:space="preserve">Betrokken personen: </w:t>
      </w:r>
      <w:r w:rsidR="00CF0496">
        <w:t>ingezetenen</w:t>
      </w:r>
      <w:r>
        <w:t xml:space="preserve">, niet-ingezetenen van vriendelijke staten, niet-ingezetenen van </w:t>
      </w:r>
      <w:r w:rsidR="00CF0496">
        <w:t>onvriendelijke</w:t>
      </w:r>
      <w:r>
        <w:t xml:space="preserve"> staten</w:t>
      </w:r>
      <w:r w:rsidR="00CF0496">
        <w:t xml:space="preserve"> die </w:t>
      </w:r>
      <w:r w:rsidR="00CE7C36">
        <w:t>in Rusland werken onder een arbeidscontract of een privaatrechtelijk</w:t>
      </w:r>
      <w:r w:rsidR="002B6C1A">
        <w:t>e</w:t>
      </w:r>
      <w:r w:rsidR="00CE7C36">
        <w:t xml:space="preserve"> </w:t>
      </w:r>
      <w:r w:rsidR="002B6C1A">
        <w:t>overeenkomst</w:t>
      </w:r>
      <w:r w:rsidR="00CE7C36">
        <w:t xml:space="preserve">. </w:t>
      </w:r>
    </w:p>
    <w:p w14:paraId="00D79BB8" w14:textId="5A7E4706" w:rsidR="00CE7C36" w:rsidRDefault="00551D0B" w:rsidP="003C6054">
      <w:pPr>
        <w:pStyle w:val="Lijstalinea"/>
        <w:numPr>
          <w:ilvl w:val="0"/>
          <w:numId w:val="1"/>
        </w:numPr>
        <w:spacing w:after="240"/>
      </w:pPr>
      <w:r>
        <w:t xml:space="preserve">Ingezetenen kunnen </w:t>
      </w:r>
      <w:r w:rsidR="009735DA">
        <w:t>transacties</w:t>
      </w:r>
      <w:r>
        <w:t xml:space="preserve"> van maximaal 10.000 dollar </w:t>
      </w:r>
      <w:r w:rsidR="009735DA">
        <w:t>naar de buitenlandse rekening van een ander persoon of zijn/haar eigen rekening uitvoeren.</w:t>
      </w:r>
      <w:r w:rsidR="00DB0D91">
        <w:t xml:space="preserve"> Voor </w:t>
      </w:r>
      <w:r w:rsidR="00DB0D91" w:rsidRPr="005140A7">
        <w:rPr>
          <w:i/>
          <w:iCs/>
        </w:rPr>
        <w:t>e-wallets</w:t>
      </w:r>
      <w:r w:rsidR="00DB0D91">
        <w:t xml:space="preserve"> geldt een grens van 5000 dollar. </w:t>
      </w:r>
    </w:p>
    <w:p w14:paraId="39779912" w14:textId="35F9AEC9" w:rsidR="00DB0D91" w:rsidRDefault="00DB0D91" w:rsidP="003C6054">
      <w:pPr>
        <w:pStyle w:val="Lijstalinea"/>
        <w:numPr>
          <w:ilvl w:val="0"/>
          <w:numId w:val="1"/>
        </w:numPr>
        <w:spacing w:after="240"/>
      </w:pPr>
      <w:r>
        <w:t xml:space="preserve">Andere transacties via Russische bankrekeningen </w:t>
      </w:r>
      <w:r w:rsidR="00980EC9">
        <w:t>of rekeningen van Russische brokers zijn opgeschort voor een periode van 6 maanden, vanaf 1 april 2022</w:t>
      </w:r>
      <w:r w:rsidR="00D557C2">
        <w:t xml:space="preserve"> indien: (i) niet-ingezetenen van onvriendelijke staten die niet in </w:t>
      </w:r>
      <w:r w:rsidR="005140A7">
        <w:t>Rusland</w:t>
      </w:r>
      <w:r w:rsidR="00D557C2">
        <w:t xml:space="preserve"> werken op basis van een arbeids</w:t>
      </w:r>
      <w:r w:rsidR="002B6C1A">
        <w:t xml:space="preserve">contract of privaatrechtelijke overeenkomst of indien (ii) de transactie </w:t>
      </w:r>
      <w:r w:rsidR="004E53C5">
        <w:t xml:space="preserve">wordt uitgevoerd door een niet-ingezetene </w:t>
      </w:r>
      <w:r w:rsidR="005140A7">
        <w:t xml:space="preserve">of rechtspersoon </w:t>
      </w:r>
      <w:r w:rsidR="004E53C5">
        <w:t>uit een onvriendelijke staat</w:t>
      </w:r>
      <w:r w:rsidR="005140A7">
        <w:t xml:space="preserve"> via de rekening van een Russische broker. </w:t>
      </w:r>
    </w:p>
    <w:p w14:paraId="46B32A5D" w14:textId="48E01F33" w:rsidR="00076F0B" w:rsidRDefault="00076F0B" w:rsidP="003C6054">
      <w:pPr>
        <w:pStyle w:val="Lijstalinea"/>
        <w:numPr>
          <w:ilvl w:val="0"/>
          <w:numId w:val="1"/>
        </w:numPr>
        <w:spacing w:after="240"/>
      </w:pPr>
      <w:r>
        <w:t>Het kopen van buitenlandse valuta in Rusland:</w:t>
      </w:r>
    </w:p>
    <w:p w14:paraId="5919B813" w14:textId="6F187EEA" w:rsidR="00076F0B" w:rsidRDefault="00076F0B" w:rsidP="00076F0B">
      <w:pPr>
        <w:pStyle w:val="Lijstalinea"/>
        <w:numPr>
          <w:ilvl w:val="1"/>
          <w:numId w:val="1"/>
        </w:numPr>
        <w:spacing w:after="240"/>
      </w:pPr>
      <w:r>
        <w:t xml:space="preserve">Niet-ingezeten rechtspersonen </w:t>
      </w:r>
      <w:r w:rsidR="0055262B">
        <w:t>uit onvriendelijke staten kunnen geen buitenlandse valuta kopen op de Russische valutamarkt.</w:t>
      </w:r>
    </w:p>
    <w:p w14:paraId="19C9C48E" w14:textId="03D61F14" w:rsidR="0055262B" w:rsidRDefault="00670254" w:rsidP="0055262B">
      <w:pPr>
        <w:pStyle w:val="Lijstalinea"/>
        <w:numPr>
          <w:ilvl w:val="0"/>
          <w:numId w:val="1"/>
        </w:numPr>
        <w:spacing w:after="240"/>
      </w:pPr>
      <w:r>
        <w:t xml:space="preserve">Winst vloeiend uit buitenlandse handel </w:t>
      </w:r>
    </w:p>
    <w:p w14:paraId="4872EE9F" w14:textId="67E2B182" w:rsidR="00670254" w:rsidRDefault="00670254" w:rsidP="00670254">
      <w:pPr>
        <w:pStyle w:val="Lijstalinea"/>
        <w:numPr>
          <w:ilvl w:val="1"/>
          <w:numId w:val="1"/>
        </w:numPr>
        <w:spacing w:after="240"/>
      </w:pPr>
      <w:r>
        <w:t xml:space="preserve">80% van buitenlandse valuta </w:t>
      </w:r>
      <w:r w:rsidR="00B3448B">
        <w:t>die wordt ontvangen in het kader van buitenlandse handelscontracten met niet-ingezetenen vanaf 1 januari 2022</w:t>
      </w:r>
      <w:r w:rsidR="00B32350">
        <w:t xml:space="preserve"> moeten door ingezetenen worden verkocht binnen drie werkdagen vanaf de datum dat het bedrag wordt bijgeschreven op de rekening van ingezetene. </w:t>
      </w:r>
    </w:p>
    <w:p w14:paraId="7EC0C474" w14:textId="0D1E2246" w:rsidR="00B32350" w:rsidRDefault="00B32350" w:rsidP="00B32350">
      <w:pPr>
        <w:pStyle w:val="Lijstalinea"/>
        <w:numPr>
          <w:ilvl w:val="0"/>
          <w:numId w:val="1"/>
        </w:numPr>
        <w:spacing w:after="240"/>
      </w:pPr>
      <w:r>
        <w:t>Vooruitbetaalde bedragen</w:t>
      </w:r>
    </w:p>
    <w:p w14:paraId="581596F8" w14:textId="44D37241" w:rsidR="00B32350" w:rsidRDefault="00115D01" w:rsidP="00B32350">
      <w:pPr>
        <w:pStyle w:val="Lijstalinea"/>
        <w:numPr>
          <w:ilvl w:val="1"/>
          <w:numId w:val="1"/>
        </w:numPr>
        <w:spacing w:after="240"/>
      </w:pPr>
      <w:r>
        <w:t>Als algemene regel geldt dat een vooruitbetaling door een ingezetene aan een niet-ingezetene niet hoger mag zijn dan 30% van de totale prijs</w:t>
      </w:r>
      <w:r w:rsidR="001516DA">
        <w:t xml:space="preserve"> op grond van:</w:t>
      </w:r>
    </w:p>
    <w:p w14:paraId="7ED30CFD" w14:textId="65C2C3A8" w:rsidR="001516DA" w:rsidRDefault="001516DA" w:rsidP="001516DA">
      <w:pPr>
        <w:pStyle w:val="Lijstalinea"/>
        <w:numPr>
          <w:ilvl w:val="2"/>
          <w:numId w:val="1"/>
        </w:numPr>
        <w:spacing w:after="240"/>
      </w:pPr>
      <w:r>
        <w:t>Dienstcontracten, indien de niet-ingezetene een dienstaanbieder is</w:t>
      </w:r>
    </w:p>
    <w:p w14:paraId="7BD900A2" w14:textId="15A5D6EE" w:rsidR="001516DA" w:rsidRDefault="001516DA" w:rsidP="001516DA">
      <w:pPr>
        <w:pStyle w:val="Lijstalinea"/>
        <w:numPr>
          <w:ilvl w:val="2"/>
          <w:numId w:val="1"/>
        </w:numPr>
        <w:spacing w:after="240"/>
      </w:pPr>
      <w:r>
        <w:t>Overeenkomsten met een resultaatverplichting</w:t>
      </w:r>
      <w:r w:rsidR="00A24A1B">
        <w:t xml:space="preserve"> voor een niet-ingezetene, het uitwisselen van informatie en resultaten van ‘intellectuele activiteit’ door een niet-ingezetene, </w:t>
      </w:r>
      <w:r w:rsidR="00350D2E">
        <w:t xml:space="preserve">inclusief het overdragen van exclusieve rechten aan niet-ingezetene. </w:t>
      </w:r>
    </w:p>
    <w:p w14:paraId="76B135B7" w14:textId="2B2F7F17" w:rsidR="00CE0507" w:rsidRDefault="00CE0507" w:rsidP="00BD56EE">
      <w:pPr>
        <w:spacing w:after="240"/>
        <w:rPr>
          <w:u w:val="single"/>
        </w:rPr>
      </w:pPr>
      <w:r>
        <w:rPr>
          <w:b/>
          <w:bCs/>
          <w:u w:val="single"/>
        </w:rPr>
        <w:t>Ontbrekende vergunningen – consequenties van overtredingen</w:t>
      </w:r>
    </w:p>
    <w:p w14:paraId="582B4D07" w14:textId="63F5A360" w:rsidR="00CE0507" w:rsidRDefault="008D3F6B" w:rsidP="00CE0507">
      <w:pPr>
        <w:pStyle w:val="Lijstalinea"/>
        <w:numPr>
          <w:ilvl w:val="0"/>
          <w:numId w:val="1"/>
        </w:numPr>
        <w:spacing w:after="240"/>
      </w:pPr>
      <w:r>
        <w:t xml:space="preserve">De Russische autoriteiten hebben nog geen verduidelijking gegeven over de consequenties van overtredingen met betrekking tot vergunningen voor transacties/activiteiten en er zijn tot dusver geen precedenten. </w:t>
      </w:r>
      <w:r w:rsidR="00553EC7">
        <w:t>De verwachting is dat transacties die niet met toestemming zijn uitgevoerd nietig of vernietigbaar zullen zijn.</w:t>
      </w:r>
    </w:p>
    <w:p w14:paraId="61899308" w14:textId="51A07560" w:rsidR="00553EC7" w:rsidRDefault="001D20A7" w:rsidP="006B0147">
      <w:pPr>
        <w:spacing w:after="240"/>
      </w:pPr>
      <w:r>
        <w:rPr>
          <w:b/>
          <w:bCs/>
          <w:i/>
          <w:iCs/>
          <w:u w:val="single"/>
        </w:rPr>
        <w:t>B.</w:t>
      </w:r>
      <w:r w:rsidR="00195D51">
        <w:rPr>
          <w:b/>
          <w:bCs/>
          <w:i/>
          <w:iCs/>
          <w:u w:val="single"/>
        </w:rPr>
        <w:t xml:space="preserve"> Update over mogelijkheden voor transport en vrachtvervoer</w:t>
      </w:r>
    </w:p>
    <w:p w14:paraId="192F62DF" w14:textId="0185CBEA" w:rsidR="00234C4B" w:rsidRDefault="00234C4B" w:rsidP="00234C4B">
      <w:pPr>
        <w:spacing w:after="240"/>
      </w:pPr>
      <w:r>
        <w:t>Transport van en naar Rusland is nagenoeg onmogelijk</w:t>
      </w:r>
      <w:r w:rsidR="00981793">
        <w:t xml:space="preserve"> geworden, met alleen wegtransport als optie onder vele beperkingen. </w:t>
      </w:r>
    </w:p>
    <w:p w14:paraId="76FA8428" w14:textId="69AFD29B" w:rsidR="00195D51" w:rsidRDefault="00434084" w:rsidP="00434084">
      <w:pPr>
        <w:pStyle w:val="Lijstalinea"/>
        <w:numPr>
          <w:ilvl w:val="0"/>
          <w:numId w:val="1"/>
        </w:numPr>
        <w:spacing w:after="240"/>
      </w:pPr>
      <w:r>
        <w:lastRenderedPageBreak/>
        <w:t>Per vliegtuig: niet meer mogelijk, Russisch luchtruim is gesloten</w:t>
      </w:r>
    </w:p>
    <w:p w14:paraId="6FBBFC1A" w14:textId="100A76C9" w:rsidR="00434084" w:rsidRDefault="006136B1" w:rsidP="00434084">
      <w:pPr>
        <w:pStyle w:val="Lijstalinea"/>
        <w:numPr>
          <w:ilvl w:val="0"/>
          <w:numId w:val="1"/>
        </w:numPr>
        <w:spacing w:after="240"/>
      </w:pPr>
      <w:r>
        <w:t>Maritiem: havens zijn gesloten voor ladingen en containers met Rusland als bestemming</w:t>
      </w:r>
    </w:p>
    <w:p w14:paraId="7C7BBA88" w14:textId="00E0C4B6" w:rsidR="006136B1" w:rsidRDefault="006136B1" w:rsidP="00434084">
      <w:pPr>
        <w:pStyle w:val="Lijstalinea"/>
        <w:numPr>
          <w:ilvl w:val="0"/>
          <w:numId w:val="1"/>
        </w:numPr>
        <w:spacing w:after="240"/>
      </w:pPr>
      <w:r>
        <w:t xml:space="preserve">Per spoor: </w:t>
      </w:r>
      <w:r w:rsidR="005120AE">
        <w:t>nagenoeg afgesloten, er is alleen zeer beperkt vrachtverkeer per spoor mogelijk.</w:t>
      </w:r>
    </w:p>
    <w:p w14:paraId="33E43000" w14:textId="432B2824" w:rsidR="00234C4B" w:rsidRDefault="005120AE" w:rsidP="00234C4B">
      <w:pPr>
        <w:pStyle w:val="Lijstalinea"/>
        <w:numPr>
          <w:ilvl w:val="0"/>
          <w:numId w:val="1"/>
        </w:numPr>
        <w:spacing w:after="240"/>
      </w:pPr>
      <w:r>
        <w:t xml:space="preserve">Wegtransport: </w:t>
      </w:r>
      <w:r w:rsidR="00AF72D2">
        <w:t>er zijn beperkingen, maar vrachtvervoer over de weg is nog mogelijk.</w:t>
      </w:r>
    </w:p>
    <w:p w14:paraId="0489DE6D" w14:textId="4888781D" w:rsidR="00434084" w:rsidRDefault="00573301" w:rsidP="006B0147">
      <w:pPr>
        <w:spacing w:after="240"/>
      </w:pPr>
      <w:r>
        <w:rPr>
          <w:b/>
          <w:bCs/>
          <w:u w:val="single"/>
        </w:rPr>
        <w:t>Nationale douane autoriteiten</w:t>
      </w:r>
    </w:p>
    <w:p w14:paraId="3674CBE0" w14:textId="19A0BEED" w:rsidR="00573301" w:rsidRPr="00F7450C" w:rsidRDefault="00573301" w:rsidP="00573301">
      <w:pPr>
        <w:pStyle w:val="Lijstalinea"/>
        <w:numPr>
          <w:ilvl w:val="0"/>
          <w:numId w:val="1"/>
        </w:numPr>
        <w:spacing w:after="240"/>
      </w:pPr>
      <w:r w:rsidRPr="00F7450C">
        <w:t>Polen</w:t>
      </w:r>
      <w:r w:rsidR="00F7450C" w:rsidRPr="00F7450C">
        <w:t xml:space="preserve"> </w:t>
      </w:r>
      <w:hyperlink r:id="rId6" w:history="1">
        <w:r w:rsidR="00F7450C" w:rsidRPr="00DD2E3E">
          <w:rPr>
            <w:rStyle w:val="Hyperlink"/>
          </w:rPr>
          <w:t>https://granica.gov.pl/index_wait.php?p=b&amp;v=ru&amp;k=w</w:t>
        </w:r>
      </w:hyperlink>
      <w:r w:rsidR="00F7450C">
        <w:t xml:space="preserve"> </w:t>
      </w:r>
    </w:p>
    <w:p w14:paraId="364A445A" w14:textId="098B7826" w:rsidR="00573301" w:rsidRDefault="00573301" w:rsidP="00573301">
      <w:pPr>
        <w:pStyle w:val="Lijstalinea"/>
        <w:numPr>
          <w:ilvl w:val="0"/>
          <w:numId w:val="1"/>
        </w:numPr>
        <w:spacing w:after="240"/>
      </w:pPr>
      <w:r>
        <w:t>Litouwen</w:t>
      </w:r>
      <w:r w:rsidR="00310827">
        <w:t xml:space="preserve"> </w:t>
      </w:r>
      <w:hyperlink r:id="rId7" w:history="1">
        <w:r w:rsidR="00310827" w:rsidRPr="00DD2E3E">
          <w:rPr>
            <w:rStyle w:val="Hyperlink"/>
          </w:rPr>
          <w:t>https://www.lithuanianborder.eu/yphis/borderQueueInfo.action</w:t>
        </w:r>
      </w:hyperlink>
      <w:r w:rsidR="00310827">
        <w:t xml:space="preserve"> </w:t>
      </w:r>
    </w:p>
    <w:p w14:paraId="68B4971D" w14:textId="4945E2C8" w:rsidR="00573301" w:rsidRPr="00310827" w:rsidRDefault="00573301" w:rsidP="00573301">
      <w:pPr>
        <w:pStyle w:val="Lijstalinea"/>
        <w:numPr>
          <w:ilvl w:val="0"/>
          <w:numId w:val="1"/>
        </w:numPr>
        <w:spacing w:after="240"/>
        <w:rPr>
          <w:lang w:val="en-GB"/>
        </w:rPr>
      </w:pPr>
      <w:r w:rsidRPr="00310827">
        <w:rPr>
          <w:lang w:val="en-GB"/>
        </w:rPr>
        <w:t>Letland</w:t>
      </w:r>
      <w:r w:rsidR="00310827" w:rsidRPr="00310827">
        <w:rPr>
          <w:lang w:val="en-GB"/>
        </w:rPr>
        <w:t xml:space="preserve"> </w:t>
      </w:r>
      <w:hyperlink r:id="rId8" w:history="1">
        <w:r w:rsidR="00310827" w:rsidRPr="00DD2E3E">
          <w:rPr>
            <w:rStyle w:val="Hyperlink"/>
            <w:lang w:val="en-GB"/>
          </w:rPr>
          <w:t>https://www.vid.gov.lv/ru/kravas_auto_rindas</w:t>
        </w:r>
      </w:hyperlink>
      <w:r w:rsidR="00310827">
        <w:rPr>
          <w:lang w:val="en-GB"/>
        </w:rPr>
        <w:t xml:space="preserve"> </w:t>
      </w:r>
    </w:p>
    <w:p w14:paraId="4AD26C84" w14:textId="04EC78EC" w:rsidR="00573301" w:rsidRDefault="00573301" w:rsidP="00573301">
      <w:pPr>
        <w:pStyle w:val="Lijstalinea"/>
        <w:numPr>
          <w:ilvl w:val="0"/>
          <w:numId w:val="1"/>
        </w:numPr>
        <w:spacing w:after="240"/>
        <w:rPr>
          <w:lang w:val="en-GB"/>
        </w:rPr>
      </w:pPr>
      <w:r w:rsidRPr="00310827">
        <w:rPr>
          <w:lang w:val="en-GB"/>
        </w:rPr>
        <w:t>Wit-Rusland</w:t>
      </w:r>
      <w:r w:rsidR="00310827" w:rsidRPr="00310827">
        <w:rPr>
          <w:lang w:val="en-GB"/>
        </w:rPr>
        <w:t xml:space="preserve"> </w:t>
      </w:r>
      <w:hyperlink r:id="rId9" w:history="1">
        <w:r w:rsidR="00310827" w:rsidRPr="00DD2E3E">
          <w:rPr>
            <w:rStyle w:val="Hyperlink"/>
            <w:lang w:val="en-GB"/>
          </w:rPr>
          <w:t>https://gpk.gov.by/</w:t>
        </w:r>
      </w:hyperlink>
      <w:r w:rsidR="00310827">
        <w:rPr>
          <w:lang w:val="en-GB"/>
        </w:rPr>
        <w:t xml:space="preserve"> </w:t>
      </w:r>
    </w:p>
    <w:p w14:paraId="7EE7AFF4" w14:textId="595A2FBE" w:rsidR="00981793" w:rsidRPr="003855B6" w:rsidRDefault="001D20A7" w:rsidP="00981793">
      <w:pPr>
        <w:spacing w:after="240"/>
        <w:rPr>
          <w:b/>
          <w:bCs/>
          <w:i/>
          <w:iCs/>
          <w:u w:val="single"/>
          <w:lang w:val="en-GB"/>
        </w:rPr>
      </w:pPr>
      <w:r>
        <w:rPr>
          <w:b/>
          <w:bCs/>
          <w:i/>
          <w:iCs/>
          <w:u w:val="single"/>
          <w:lang w:val="en-GB"/>
        </w:rPr>
        <w:t>C</w:t>
      </w:r>
      <w:r w:rsidR="00981793" w:rsidRPr="003855B6">
        <w:rPr>
          <w:b/>
          <w:bCs/>
          <w:i/>
          <w:iCs/>
          <w:u w:val="single"/>
          <w:lang w:val="en-GB"/>
        </w:rPr>
        <w:t xml:space="preserve">. </w:t>
      </w:r>
      <w:r w:rsidR="00112818" w:rsidRPr="003855B6">
        <w:rPr>
          <w:b/>
          <w:bCs/>
          <w:i/>
          <w:iCs/>
          <w:u w:val="single"/>
          <w:lang w:val="en-GB"/>
        </w:rPr>
        <w:t>Overzicht van Rusissche exportbeperkingen</w:t>
      </w:r>
    </w:p>
    <w:p w14:paraId="0872C9D3" w14:textId="4AC9246F" w:rsidR="003855B6" w:rsidRPr="003855B6" w:rsidRDefault="003855B6" w:rsidP="00981793">
      <w:pPr>
        <w:spacing w:after="240"/>
        <w:rPr>
          <w:b/>
          <w:bCs/>
          <w:u w:val="single"/>
          <w:lang w:val="en-GB"/>
        </w:rPr>
      </w:pPr>
      <w:r>
        <w:rPr>
          <w:b/>
          <w:bCs/>
          <w:u w:val="single"/>
          <w:lang w:val="en-GB"/>
        </w:rPr>
        <w:t>Machinery, equipment, vehicles and IT products</w:t>
      </w:r>
    </w:p>
    <w:tbl>
      <w:tblPr>
        <w:tblStyle w:val="Tabelraster"/>
        <w:tblW w:w="0" w:type="auto"/>
        <w:tblLook w:val="04A0" w:firstRow="1" w:lastRow="0" w:firstColumn="1" w:lastColumn="0" w:noHBand="0" w:noVBand="1"/>
      </w:tblPr>
      <w:tblGrid>
        <w:gridCol w:w="1413"/>
        <w:gridCol w:w="3685"/>
        <w:gridCol w:w="3964"/>
      </w:tblGrid>
      <w:tr w:rsidR="000F082A" w14:paraId="03247371" w14:textId="77777777" w:rsidTr="00782A34">
        <w:tc>
          <w:tcPr>
            <w:tcW w:w="1413" w:type="dxa"/>
            <w:shd w:val="clear" w:color="auto" w:fill="auto"/>
          </w:tcPr>
          <w:p w14:paraId="4DD29E9C" w14:textId="77777777" w:rsidR="000F082A" w:rsidRDefault="000F082A" w:rsidP="00792ABD">
            <w:pPr>
              <w:rPr>
                <w:lang w:val="en-GB"/>
              </w:rPr>
            </w:pPr>
          </w:p>
        </w:tc>
        <w:tc>
          <w:tcPr>
            <w:tcW w:w="3685" w:type="dxa"/>
            <w:shd w:val="clear" w:color="auto" w:fill="auto"/>
          </w:tcPr>
          <w:p w14:paraId="241BA6E2" w14:textId="59A7C75F" w:rsidR="000F082A" w:rsidRPr="00782A34" w:rsidRDefault="000F082A" w:rsidP="00523F8B">
            <w:pPr>
              <w:jc w:val="center"/>
              <w:rPr>
                <w:b/>
                <w:bCs/>
                <w:lang w:val="en-GB"/>
              </w:rPr>
            </w:pPr>
            <w:r w:rsidRPr="00782A34">
              <w:rPr>
                <w:b/>
                <w:bCs/>
                <w:lang w:val="en-GB"/>
              </w:rPr>
              <w:t>Government Decree No. 311</w:t>
            </w:r>
          </w:p>
        </w:tc>
        <w:tc>
          <w:tcPr>
            <w:tcW w:w="3964" w:type="dxa"/>
            <w:shd w:val="clear" w:color="auto" w:fill="auto"/>
          </w:tcPr>
          <w:p w14:paraId="53DDE845" w14:textId="2F8AE84D" w:rsidR="000F082A" w:rsidRPr="00782A34" w:rsidRDefault="000F082A" w:rsidP="00523F8B">
            <w:pPr>
              <w:jc w:val="center"/>
              <w:rPr>
                <w:b/>
                <w:bCs/>
                <w:lang w:val="en-GB"/>
              </w:rPr>
            </w:pPr>
            <w:r w:rsidRPr="00782A34">
              <w:rPr>
                <w:b/>
                <w:bCs/>
                <w:lang w:val="en-GB"/>
              </w:rPr>
              <w:t>Government Decree No. 312</w:t>
            </w:r>
          </w:p>
        </w:tc>
      </w:tr>
      <w:tr w:rsidR="000F082A" w:rsidRPr="007665C7" w14:paraId="4E556A77" w14:textId="77777777" w:rsidTr="00782A34">
        <w:tc>
          <w:tcPr>
            <w:tcW w:w="1413" w:type="dxa"/>
            <w:shd w:val="clear" w:color="auto" w:fill="auto"/>
          </w:tcPr>
          <w:p w14:paraId="286D5765" w14:textId="1FAF4A50" w:rsidR="000F082A" w:rsidRPr="00782A34" w:rsidRDefault="001A2FF2" w:rsidP="00792ABD">
            <w:pPr>
              <w:rPr>
                <w:b/>
                <w:bCs/>
                <w:lang w:val="en-GB"/>
              </w:rPr>
            </w:pPr>
            <w:r w:rsidRPr="00782A34">
              <w:rPr>
                <w:b/>
                <w:bCs/>
                <w:lang w:val="en-GB"/>
              </w:rPr>
              <w:t>Measure</w:t>
            </w:r>
          </w:p>
        </w:tc>
        <w:tc>
          <w:tcPr>
            <w:tcW w:w="3685" w:type="dxa"/>
            <w:shd w:val="clear" w:color="auto" w:fill="auto"/>
          </w:tcPr>
          <w:p w14:paraId="05BE9105" w14:textId="02B469EA" w:rsidR="000F082A" w:rsidRDefault="001A2FF2" w:rsidP="00792ABD">
            <w:pPr>
              <w:rPr>
                <w:lang w:val="en-GB"/>
              </w:rPr>
            </w:pPr>
            <w:r w:rsidRPr="001A2FF2">
              <w:rPr>
                <w:lang w:val="en-GB"/>
              </w:rPr>
              <w:t>Temporary export</w:t>
            </w:r>
            <w:r>
              <w:rPr>
                <w:lang w:val="en-GB"/>
              </w:rPr>
              <w:t xml:space="preserve"> </w:t>
            </w:r>
            <w:r w:rsidRPr="001A2FF2">
              <w:rPr>
                <w:lang w:val="en-GB"/>
              </w:rPr>
              <w:t>ban outside Russia</w:t>
            </w:r>
          </w:p>
        </w:tc>
        <w:tc>
          <w:tcPr>
            <w:tcW w:w="3964" w:type="dxa"/>
            <w:shd w:val="clear" w:color="auto" w:fill="auto"/>
          </w:tcPr>
          <w:p w14:paraId="7ACE1054" w14:textId="1F76172D" w:rsidR="000F082A" w:rsidRDefault="001A2FF2" w:rsidP="00792ABD">
            <w:pPr>
              <w:rPr>
                <w:lang w:val="en-GB"/>
              </w:rPr>
            </w:pPr>
            <w:r w:rsidRPr="001A2FF2">
              <w:rPr>
                <w:lang w:val="en-GB"/>
              </w:rPr>
              <w:t>Export Permit</w:t>
            </w:r>
            <w:r>
              <w:rPr>
                <w:lang w:val="en-GB"/>
              </w:rPr>
              <w:t xml:space="preserve"> </w:t>
            </w:r>
            <w:r w:rsidRPr="001A2FF2">
              <w:rPr>
                <w:lang w:val="en-GB"/>
              </w:rPr>
              <w:t>for supplies to the EAEU</w:t>
            </w:r>
          </w:p>
        </w:tc>
      </w:tr>
      <w:tr w:rsidR="001A2FF2" w14:paraId="32179392" w14:textId="77777777" w:rsidTr="00782A34">
        <w:tc>
          <w:tcPr>
            <w:tcW w:w="1413" w:type="dxa"/>
            <w:shd w:val="clear" w:color="auto" w:fill="auto"/>
          </w:tcPr>
          <w:p w14:paraId="3DE22C20" w14:textId="4BEF9762" w:rsidR="001A2FF2" w:rsidRPr="00782A34" w:rsidRDefault="001A2FF2" w:rsidP="00792ABD">
            <w:pPr>
              <w:rPr>
                <w:b/>
                <w:bCs/>
                <w:lang w:val="en-GB"/>
              </w:rPr>
            </w:pPr>
            <w:r w:rsidRPr="00782A34">
              <w:rPr>
                <w:b/>
                <w:bCs/>
                <w:lang w:val="en-GB"/>
              </w:rPr>
              <w:t>Validity</w:t>
            </w:r>
          </w:p>
        </w:tc>
        <w:tc>
          <w:tcPr>
            <w:tcW w:w="7649" w:type="dxa"/>
            <w:gridSpan w:val="2"/>
            <w:shd w:val="clear" w:color="auto" w:fill="auto"/>
          </w:tcPr>
          <w:p w14:paraId="72EE1138" w14:textId="533A5F7C" w:rsidR="001A2FF2" w:rsidRDefault="001A2FF2" w:rsidP="00782A34">
            <w:pPr>
              <w:jc w:val="center"/>
              <w:rPr>
                <w:lang w:val="en-GB"/>
              </w:rPr>
            </w:pPr>
            <w:r>
              <w:rPr>
                <w:lang w:val="en-GB"/>
              </w:rPr>
              <w:t>Until 31 December 2022</w:t>
            </w:r>
          </w:p>
        </w:tc>
      </w:tr>
      <w:tr w:rsidR="0028093E" w14:paraId="5230CD5D" w14:textId="77777777" w:rsidTr="00782A34">
        <w:tc>
          <w:tcPr>
            <w:tcW w:w="1413" w:type="dxa"/>
            <w:shd w:val="clear" w:color="auto" w:fill="auto"/>
          </w:tcPr>
          <w:p w14:paraId="4D851630" w14:textId="7E92D664" w:rsidR="0028093E" w:rsidRPr="00782A34" w:rsidRDefault="0028093E" w:rsidP="00792ABD">
            <w:pPr>
              <w:rPr>
                <w:b/>
                <w:bCs/>
                <w:lang w:val="en-GB"/>
              </w:rPr>
            </w:pPr>
            <w:r w:rsidRPr="00782A34">
              <w:rPr>
                <w:b/>
                <w:bCs/>
                <w:lang w:val="en-GB"/>
              </w:rPr>
              <w:t>Products</w:t>
            </w:r>
          </w:p>
        </w:tc>
        <w:tc>
          <w:tcPr>
            <w:tcW w:w="7649" w:type="dxa"/>
            <w:gridSpan w:val="2"/>
            <w:shd w:val="clear" w:color="auto" w:fill="auto"/>
          </w:tcPr>
          <w:p w14:paraId="7655BC96" w14:textId="4628C80B" w:rsidR="0028093E" w:rsidRPr="00782A34" w:rsidRDefault="00782A34" w:rsidP="00782A34">
            <w:pPr>
              <w:rPr>
                <w:lang w:val="en-GB"/>
              </w:rPr>
            </w:pPr>
            <w:r w:rsidRPr="00792ABD">
              <w:rPr>
                <w:lang w:val="en-GB"/>
              </w:rPr>
              <w:t>•</w:t>
            </w:r>
            <w:r>
              <w:rPr>
                <w:lang w:val="en-GB"/>
              </w:rPr>
              <w:t xml:space="preserve"> </w:t>
            </w:r>
            <w:r w:rsidR="0028093E" w:rsidRPr="00782A34">
              <w:rPr>
                <w:lang w:val="en-GB"/>
              </w:rPr>
              <w:t>machinery, vehicles, technological, telecommunication, medical , electrical equipment, IT products etc. All goods are classified by customs classification (“HS”) codes</w:t>
            </w:r>
          </w:p>
        </w:tc>
      </w:tr>
      <w:tr w:rsidR="0028093E" w:rsidRPr="007665C7" w14:paraId="074303F0" w14:textId="77777777" w:rsidTr="00782A34">
        <w:tc>
          <w:tcPr>
            <w:tcW w:w="1413" w:type="dxa"/>
          </w:tcPr>
          <w:p w14:paraId="354340D4" w14:textId="3ED23F3F" w:rsidR="0028093E" w:rsidRPr="00782A34" w:rsidRDefault="0028093E" w:rsidP="00981793">
            <w:pPr>
              <w:spacing w:after="240"/>
              <w:rPr>
                <w:b/>
                <w:bCs/>
                <w:lang w:val="en-GB"/>
              </w:rPr>
            </w:pPr>
            <w:r w:rsidRPr="00782A34">
              <w:rPr>
                <w:b/>
                <w:bCs/>
                <w:lang w:val="en-GB"/>
              </w:rPr>
              <w:t>Exemptions</w:t>
            </w:r>
          </w:p>
        </w:tc>
        <w:tc>
          <w:tcPr>
            <w:tcW w:w="7649" w:type="dxa"/>
            <w:gridSpan w:val="2"/>
          </w:tcPr>
          <w:p w14:paraId="6FD48D99" w14:textId="77777777" w:rsidR="00792ABD" w:rsidRPr="00792ABD" w:rsidRDefault="00792ABD" w:rsidP="00792ABD">
            <w:pPr>
              <w:rPr>
                <w:lang w:val="en-GB"/>
              </w:rPr>
            </w:pPr>
            <w:r w:rsidRPr="00792ABD">
              <w:rPr>
                <w:lang w:val="en-GB"/>
              </w:rPr>
              <w:t>goods originating from Russia and covered by ST 1 or other types of certificates of origin</w:t>
            </w:r>
          </w:p>
          <w:p w14:paraId="35BB88E0" w14:textId="71227BDB" w:rsidR="00792ABD" w:rsidRPr="00792ABD" w:rsidRDefault="00792ABD" w:rsidP="00792ABD">
            <w:pPr>
              <w:rPr>
                <w:lang w:val="en-GB"/>
              </w:rPr>
            </w:pPr>
            <w:r w:rsidRPr="00792ABD">
              <w:rPr>
                <w:lang w:val="en-GB"/>
              </w:rPr>
              <w:t>•</w:t>
            </w:r>
            <w:r>
              <w:rPr>
                <w:lang w:val="en-GB"/>
              </w:rPr>
              <w:t xml:space="preserve"> </w:t>
            </w:r>
            <w:r w:rsidRPr="00792ABD">
              <w:rPr>
                <w:lang w:val="en-GB"/>
              </w:rPr>
              <w:t>goods in transit/international means of transportation</w:t>
            </w:r>
          </w:p>
          <w:p w14:paraId="763E0768" w14:textId="798A0617" w:rsidR="00792ABD" w:rsidRPr="00792ABD" w:rsidRDefault="00792ABD" w:rsidP="00792ABD">
            <w:pPr>
              <w:rPr>
                <w:lang w:val="en-GB"/>
              </w:rPr>
            </w:pPr>
            <w:r w:rsidRPr="00792ABD">
              <w:rPr>
                <w:lang w:val="en-GB"/>
              </w:rPr>
              <w:t>•</w:t>
            </w:r>
            <w:r>
              <w:rPr>
                <w:lang w:val="en-GB"/>
              </w:rPr>
              <w:t xml:space="preserve"> </w:t>
            </w:r>
            <w:r w:rsidRPr="00792ABD">
              <w:rPr>
                <w:lang w:val="en-GB"/>
              </w:rPr>
              <w:t>goods exported by individuals for personal use</w:t>
            </w:r>
          </w:p>
          <w:p w14:paraId="0AA0172E" w14:textId="33986D03" w:rsidR="00792ABD" w:rsidRPr="00792ABD" w:rsidRDefault="00792ABD" w:rsidP="00792ABD">
            <w:pPr>
              <w:rPr>
                <w:lang w:val="en-GB"/>
              </w:rPr>
            </w:pPr>
            <w:r w:rsidRPr="00792ABD">
              <w:rPr>
                <w:lang w:val="en-GB"/>
              </w:rPr>
              <w:t>•</w:t>
            </w:r>
            <w:r>
              <w:rPr>
                <w:lang w:val="en-GB"/>
              </w:rPr>
              <w:t xml:space="preserve"> </w:t>
            </w:r>
            <w:r w:rsidRPr="00792ABD">
              <w:rPr>
                <w:lang w:val="en-GB"/>
              </w:rPr>
              <w:t>goods exported to the EAEU (under an export permit</w:t>
            </w:r>
          </w:p>
          <w:p w14:paraId="0D3E154B" w14:textId="54B030C5" w:rsidR="00792ABD" w:rsidRPr="00792ABD" w:rsidRDefault="00792ABD" w:rsidP="00792ABD">
            <w:pPr>
              <w:rPr>
                <w:lang w:val="en-GB"/>
              </w:rPr>
            </w:pPr>
            <w:r w:rsidRPr="00792ABD">
              <w:rPr>
                <w:lang w:val="en-GB"/>
              </w:rPr>
              <w:t>•</w:t>
            </w:r>
            <w:r>
              <w:rPr>
                <w:lang w:val="en-GB"/>
              </w:rPr>
              <w:t xml:space="preserve"> </w:t>
            </w:r>
            <w:r w:rsidRPr="00792ABD">
              <w:rPr>
                <w:lang w:val="en-GB"/>
              </w:rPr>
              <w:t>supplies to Belarus, so called Abkhazia and South Ossetia and so called LNR and DNR</w:t>
            </w:r>
          </w:p>
          <w:p w14:paraId="64F6EC2E" w14:textId="24D05324" w:rsidR="00792ABD" w:rsidRPr="00792ABD" w:rsidRDefault="00792ABD" w:rsidP="00792ABD">
            <w:pPr>
              <w:rPr>
                <w:lang w:val="en-GB"/>
              </w:rPr>
            </w:pPr>
            <w:r w:rsidRPr="00792ABD">
              <w:rPr>
                <w:lang w:val="en-GB"/>
              </w:rPr>
              <w:t>•</w:t>
            </w:r>
            <w:r>
              <w:rPr>
                <w:lang w:val="en-GB"/>
              </w:rPr>
              <w:t xml:space="preserve"> </w:t>
            </w:r>
            <w:r w:rsidRPr="00792ABD">
              <w:rPr>
                <w:lang w:val="en-GB"/>
              </w:rPr>
              <w:t>goods previously imported into Russia using the Carnet ATA</w:t>
            </w:r>
          </w:p>
          <w:p w14:paraId="4E9A0F1F" w14:textId="0AABAF17" w:rsidR="0028093E" w:rsidRDefault="00792ABD" w:rsidP="00792ABD">
            <w:pPr>
              <w:rPr>
                <w:lang w:val="en-GB"/>
              </w:rPr>
            </w:pPr>
            <w:r w:rsidRPr="00792ABD">
              <w:rPr>
                <w:lang w:val="en-GB"/>
              </w:rPr>
              <w:t>•</w:t>
            </w:r>
            <w:r>
              <w:rPr>
                <w:lang w:val="en-GB"/>
              </w:rPr>
              <w:t xml:space="preserve"> </w:t>
            </w:r>
            <w:r w:rsidRPr="00792ABD">
              <w:rPr>
                <w:lang w:val="en-GB"/>
              </w:rPr>
              <w:t>spare parts and special equipment temporarily exported for maintenance, etc.</w:t>
            </w:r>
          </w:p>
        </w:tc>
      </w:tr>
      <w:tr w:rsidR="0028093E" w:rsidRPr="007665C7" w14:paraId="672CA5BE" w14:textId="77777777" w:rsidTr="00782A34">
        <w:tc>
          <w:tcPr>
            <w:tcW w:w="1413" w:type="dxa"/>
          </w:tcPr>
          <w:p w14:paraId="03245F76" w14:textId="77777777" w:rsidR="0028093E" w:rsidRPr="00782A34" w:rsidRDefault="00782A34" w:rsidP="00782A34">
            <w:pPr>
              <w:rPr>
                <w:b/>
                <w:bCs/>
                <w:lang w:val="en-GB"/>
              </w:rPr>
            </w:pPr>
            <w:r w:rsidRPr="00782A34">
              <w:rPr>
                <w:b/>
                <w:bCs/>
                <w:lang w:val="en-GB"/>
              </w:rPr>
              <w:t>Export license</w:t>
            </w:r>
          </w:p>
          <w:p w14:paraId="30FAC257" w14:textId="76179E64" w:rsidR="00782A34" w:rsidRPr="00782A34" w:rsidRDefault="00782A34" w:rsidP="00782A34">
            <w:pPr>
              <w:rPr>
                <w:b/>
                <w:bCs/>
                <w:lang w:val="en-GB"/>
              </w:rPr>
            </w:pPr>
          </w:p>
        </w:tc>
        <w:tc>
          <w:tcPr>
            <w:tcW w:w="7649" w:type="dxa"/>
            <w:gridSpan w:val="2"/>
          </w:tcPr>
          <w:p w14:paraId="3399E93E" w14:textId="31C5F477" w:rsidR="00782A34" w:rsidRPr="00782A34" w:rsidRDefault="00782A34" w:rsidP="00782A34">
            <w:pPr>
              <w:rPr>
                <w:lang w:val="en-GB"/>
              </w:rPr>
            </w:pPr>
            <w:r w:rsidRPr="00782A34">
              <w:rPr>
                <w:lang w:val="en-GB"/>
              </w:rPr>
              <w:t>An export permit</w:t>
            </w:r>
            <w:r>
              <w:rPr>
                <w:lang w:val="en-GB"/>
              </w:rPr>
              <w:t xml:space="preserve"> </w:t>
            </w:r>
            <w:r w:rsidRPr="00782A34">
              <w:rPr>
                <w:lang w:val="en-GB"/>
              </w:rPr>
              <w:t>to supply the products to the EAEU countries based on the following key requirements</w:t>
            </w:r>
          </w:p>
          <w:p w14:paraId="34C88413" w14:textId="028CE254" w:rsidR="00782A34" w:rsidRPr="00782A34" w:rsidRDefault="00782A34" w:rsidP="00782A34">
            <w:pPr>
              <w:rPr>
                <w:lang w:val="en-GB"/>
              </w:rPr>
            </w:pPr>
            <w:r w:rsidRPr="00782A34">
              <w:rPr>
                <w:lang w:val="en-GB"/>
              </w:rPr>
              <w:t>•</w:t>
            </w:r>
            <w:r>
              <w:rPr>
                <w:lang w:val="en-GB"/>
              </w:rPr>
              <w:t xml:space="preserve"> </w:t>
            </w:r>
            <w:r w:rsidRPr="00782A34">
              <w:rPr>
                <w:lang w:val="en-GB"/>
              </w:rPr>
              <w:t>the actual purpose of the exportation from Russia</w:t>
            </w:r>
          </w:p>
          <w:p w14:paraId="38CE13FC" w14:textId="36E77AF0" w:rsidR="00782A34" w:rsidRPr="00782A34" w:rsidRDefault="00782A34" w:rsidP="00782A34">
            <w:pPr>
              <w:rPr>
                <w:lang w:val="en-GB"/>
              </w:rPr>
            </w:pPr>
            <w:r w:rsidRPr="00782A34">
              <w:rPr>
                <w:lang w:val="en-GB"/>
              </w:rPr>
              <w:t>•</w:t>
            </w:r>
            <w:r>
              <w:rPr>
                <w:lang w:val="en-GB"/>
              </w:rPr>
              <w:t xml:space="preserve"> </w:t>
            </w:r>
            <w:r w:rsidRPr="00782A34">
              <w:rPr>
                <w:lang w:val="en-GB"/>
              </w:rPr>
              <w:t>the possibility to manufacture and/or acquire in Russia (or countries not restricting trade with Russia) the</w:t>
            </w:r>
          </w:p>
          <w:p w14:paraId="54E1771F" w14:textId="77777777" w:rsidR="00782A34" w:rsidRPr="00782A34" w:rsidRDefault="00782A34" w:rsidP="00782A34">
            <w:pPr>
              <w:rPr>
                <w:lang w:val="en-GB"/>
              </w:rPr>
            </w:pPr>
            <w:r w:rsidRPr="00782A34">
              <w:rPr>
                <w:lang w:val="en-GB"/>
              </w:rPr>
              <w:t>same/identical equipment</w:t>
            </w:r>
          </w:p>
          <w:p w14:paraId="1C00D65E" w14:textId="11795759" w:rsidR="0028093E" w:rsidRDefault="00782A34" w:rsidP="00782A34">
            <w:pPr>
              <w:rPr>
                <w:lang w:val="en-GB"/>
              </w:rPr>
            </w:pPr>
            <w:r w:rsidRPr="00782A34">
              <w:rPr>
                <w:lang w:val="en-GB"/>
              </w:rPr>
              <w:t>•</w:t>
            </w:r>
            <w:r>
              <w:rPr>
                <w:lang w:val="en-GB"/>
              </w:rPr>
              <w:t xml:space="preserve"> </w:t>
            </w:r>
            <w:r w:rsidRPr="00782A34">
              <w:rPr>
                <w:lang w:val="en-GB"/>
              </w:rPr>
              <w:t>the absence of critical shortage of the exported goods</w:t>
            </w:r>
          </w:p>
        </w:tc>
      </w:tr>
    </w:tbl>
    <w:p w14:paraId="277470E7" w14:textId="218790B1" w:rsidR="00112818" w:rsidRDefault="00112818" w:rsidP="00981793">
      <w:pPr>
        <w:spacing w:after="240"/>
        <w:rPr>
          <w:lang w:val="en-GB"/>
        </w:rPr>
      </w:pPr>
    </w:p>
    <w:p w14:paraId="68C6A306" w14:textId="2B37BAF2" w:rsidR="003855B6" w:rsidRDefault="002B09F5" w:rsidP="00981793">
      <w:pPr>
        <w:spacing w:after="240"/>
        <w:rPr>
          <w:b/>
          <w:bCs/>
          <w:u w:val="single"/>
          <w:lang w:val="en-GB"/>
        </w:rPr>
      </w:pPr>
      <w:r>
        <w:rPr>
          <w:b/>
          <w:bCs/>
          <w:u w:val="single"/>
          <w:lang w:val="en-GB"/>
        </w:rPr>
        <w:t>Timber, Chemicals and materials</w:t>
      </w:r>
    </w:p>
    <w:tbl>
      <w:tblPr>
        <w:tblStyle w:val="Tabelraster"/>
        <w:tblW w:w="0" w:type="auto"/>
        <w:tblLook w:val="04A0" w:firstRow="1" w:lastRow="0" w:firstColumn="1" w:lastColumn="0" w:noHBand="0" w:noVBand="1"/>
      </w:tblPr>
      <w:tblGrid>
        <w:gridCol w:w="1413"/>
        <w:gridCol w:w="7649"/>
      </w:tblGrid>
      <w:tr w:rsidR="002B09F5" w14:paraId="22CCFC2D" w14:textId="77777777" w:rsidTr="002B09F5">
        <w:tc>
          <w:tcPr>
            <w:tcW w:w="1413" w:type="dxa"/>
          </w:tcPr>
          <w:p w14:paraId="350468D7" w14:textId="77777777" w:rsidR="002B09F5" w:rsidRDefault="002B09F5" w:rsidP="00523F8B">
            <w:pPr>
              <w:rPr>
                <w:lang w:val="en-GB"/>
              </w:rPr>
            </w:pPr>
          </w:p>
        </w:tc>
        <w:tc>
          <w:tcPr>
            <w:tcW w:w="7649" w:type="dxa"/>
          </w:tcPr>
          <w:p w14:paraId="0536CFC2" w14:textId="47EFE08A" w:rsidR="002B09F5" w:rsidRPr="00523F8B" w:rsidRDefault="002B09F5" w:rsidP="00523F8B">
            <w:pPr>
              <w:jc w:val="center"/>
              <w:rPr>
                <w:b/>
                <w:bCs/>
                <w:lang w:val="en-GB"/>
              </w:rPr>
            </w:pPr>
            <w:r w:rsidRPr="00523F8B">
              <w:rPr>
                <w:b/>
                <w:bCs/>
                <w:lang w:val="en-GB"/>
              </w:rPr>
              <w:t>Government Decree No. 313</w:t>
            </w:r>
          </w:p>
        </w:tc>
      </w:tr>
      <w:tr w:rsidR="00523F8B" w:rsidRPr="007665C7" w14:paraId="559A3115" w14:textId="77777777" w:rsidTr="002B09F5">
        <w:tc>
          <w:tcPr>
            <w:tcW w:w="1413" w:type="dxa"/>
          </w:tcPr>
          <w:p w14:paraId="2CF314C1" w14:textId="08459B81" w:rsidR="00523F8B" w:rsidRDefault="00523F8B" w:rsidP="00523F8B">
            <w:pPr>
              <w:rPr>
                <w:lang w:val="en-GB"/>
              </w:rPr>
            </w:pPr>
            <w:r>
              <w:rPr>
                <w:b/>
                <w:bCs/>
                <w:lang w:val="en-GB"/>
              </w:rPr>
              <w:t>Measure</w:t>
            </w:r>
          </w:p>
        </w:tc>
        <w:tc>
          <w:tcPr>
            <w:tcW w:w="7649" w:type="dxa"/>
          </w:tcPr>
          <w:p w14:paraId="046FF1C1" w14:textId="52EF1726" w:rsidR="00523F8B" w:rsidRDefault="00523F8B" w:rsidP="00523F8B">
            <w:pPr>
              <w:rPr>
                <w:lang w:val="en-GB"/>
              </w:rPr>
            </w:pPr>
            <w:r>
              <w:rPr>
                <w:lang w:val="en-GB"/>
              </w:rPr>
              <w:t>Temporary export ban outside Russia</w:t>
            </w:r>
          </w:p>
        </w:tc>
      </w:tr>
      <w:tr w:rsidR="00523F8B" w14:paraId="0F5DDEB8" w14:textId="77777777" w:rsidTr="002B09F5">
        <w:tc>
          <w:tcPr>
            <w:tcW w:w="1413" w:type="dxa"/>
          </w:tcPr>
          <w:p w14:paraId="1759E6C5" w14:textId="716B4820" w:rsidR="00523F8B" w:rsidRPr="002B09F5" w:rsidRDefault="00523F8B" w:rsidP="00523F8B">
            <w:pPr>
              <w:rPr>
                <w:b/>
                <w:bCs/>
                <w:lang w:val="en-GB"/>
              </w:rPr>
            </w:pPr>
            <w:r>
              <w:rPr>
                <w:b/>
                <w:bCs/>
                <w:lang w:val="en-GB"/>
              </w:rPr>
              <w:t>Validity</w:t>
            </w:r>
          </w:p>
        </w:tc>
        <w:tc>
          <w:tcPr>
            <w:tcW w:w="7649" w:type="dxa"/>
          </w:tcPr>
          <w:p w14:paraId="6EF6DBDF" w14:textId="0FDC998A" w:rsidR="00523F8B" w:rsidRDefault="00523F8B" w:rsidP="00523F8B">
            <w:pPr>
              <w:jc w:val="center"/>
              <w:rPr>
                <w:lang w:val="en-GB"/>
              </w:rPr>
            </w:pPr>
            <w:r>
              <w:rPr>
                <w:lang w:val="en-GB"/>
              </w:rPr>
              <w:t>Until 31 December 2022</w:t>
            </w:r>
          </w:p>
        </w:tc>
      </w:tr>
      <w:tr w:rsidR="00523F8B" w:rsidRPr="007665C7" w14:paraId="236C1C43" w14:textId="77777777" w:rsidTr="002B09F5">
        <w:tc>
          <w:tcPr>
            <w:tcW w:w="1413" w:type="dxa"/>
          </w:tcPr>
          <w:p w14:paraId="1F35F11E" w14:textId="3BBAF088" w:rsidR="00523F8B" w:rsidRPr="002B09F5" w:rsidRDefault="00523F8B" w:rsidP="00523F8B">
            <w:pPr>
              <w:rPr>
                <w:b/>
                <w:bCs/>
                <w:lang w:val="en-GB"/>
              </w:rPr>
            </w:pPr>
            <w:r>
              <w:rPr>
                <w:b/>
                <w:bCs/>
                <w:lang w:val="en-GB"/>
              </w:rPr>
              <w:t>Products</w:t>
            </w:r>
          </w:p>
        </w:tc>
        <w:tc>
          <w:tcPr>
            <w:tcW w:w="7649" w:type="dxa"/>
          </w:tcPr>
          <w:p w14:paraId="2074B73F" w14:textId="77777777" w:rsidR="00523F8B" w:rsidRDefault="00523F8B" w:rsidP="00523F8B">
            <w:pPr>
              <w:rPr>
                <w:lang w:val="en-GB"/>
              </w:rPr>
            </w:pPr>
            <w:r w:rsidRPr="00782A34">
              <w:rPr>
                <w:lang w:val="en-GB"/>
              </w:rPr>
              <w:t>•</w:t>
            </w:r>
            <w:r>
              <w:rPr>
                <w:lang w:val="en-GB"/>
              </w:rPr>
              <w:t xml:space="preserve"> wood</w:t>
            </w:r>
          </w:p>
          <w:p w14:paraId="5C1AD997" w14:textId="77777777" w:rsidR="00523F8B" w:rsidRDefault="00523F8B" w:rsidP="00523F8B">
            <w:pPr>
              <w:rPr>
                <w:lang w:val="en-GB"/>
              </w:rPr>
            </w:pPr>
            <w:r w:rsidRPr="00782A34">
              <w:rPr>
                <w:lang w:val="en-GB"/>
              </w:rPr>
              <w:t>•</w:t>
            </w:r>
            <w:r>
              <w:rPr>
                <w:lang w:val="en-GB"/>
              </w:rPr>
              <w:t xml:space="preserve"> timber</w:t>
            </w:r>
          </w:p>
          <w:p w14:paraId="736FCF2E" w14:textId="33BD9FF6" w:rsidR="00523F8B" w:rsidRDefault="00523F8B" w:rsidP="00523F8B">
            <w:pPr>
              <w:rPr>
                <w:lang w:val="en-GB"/>
              </w:rPr>
            </w:pPr>
            <w:r w:rsidRPr="00782A34">
              <w:rPr>
                <w:lang w:val="en-GB"/>
              </w:rPr>
              <w:t>•</w:t>
            </w:r>
            <w:r>
              <w:rPr>
                <w:lang w:val="en-GB"/>
              </w:rPr>
              <w:t xml:space="preserve"> waste and scrap metal etc.</w:t>
            </w:r>
          </w:p>
        </w:tc>
      </w:tr>
      <w:tr w:rsidR="00523F8B" w:rsidRPr="007665C7" w14:paraId="556718D2" w14:textId="77777777" w:rsidTr="002B09F5">
        <w:tc>
          <w:tcPr>
            <w:tcW w:w="1413" w:type="dxa"/>
          </w:tcPr>
          <w:p w14:paraId="0584F642" w14:textId="0DAA6375" w:rsidR="00523F8B" w:rsidRPr="002B09F5" w:rsidRDefault="00523F8B" w:rsidP="00523F8B">
            <w:pPr>
              <w:rPr>
                <w:b/>
                <w:bCs/>
                <w:lang w:val="en-GB"/>
              </w:rPr>
            </w:pPr>
            <w:r>
              <w:rPr>
                <w:b/>
                <w:bCs/>
                <w:lang w:val="en-GB"/>
              </w:rPr>
              <w:t>Exemptions</w:t>
            </w:r>
          </w:p>
        </w:tc>
        <w:tc>
          <w:tcPr>
            <w:tcW w:w="7649" w:type="dxa"/>
          </w:tcPr>
          <w:p w14:paraId="623359E2" w14:textId="77777777" w:rsidR="00523F8B" w:rsidRDefault="00523F8B" w:rsidP="00523F8B">
            <w:pPr>
              <w:rPr>
                <w:lang w:val="en-GB"/>
              </w:rPr>
            </w:pPr>
            <w:r w:rsidRPr="00782A34">
              <w:rPr>
                <w:lang w:val="en-GB"/>
              </w:rPr>
              <w:t>•</w:t>
            </w:r>
            <w:r>
              <w:rPr>
                <w:lang w:val="en-GB"/>
              </w:rPr>
              <w:t xml:space="preserve"> goods in transit</w:t>
            </w:r>
          </w:p>
          <w:p w14:paraId="0DBEEB8F" w14:textId="77777777" w:rsidR="00523F8B" w:rsidRDefault="00523F8B" w:rsidP="00523F8B">
            <w:pPr>
              <w:rPr>
                <w:lang w:val="en-GB"/>
              </w:rPr>
            </w:pPr>
            <w:r w:rsidRPr="00782A34">
              <w:rPr>
                <w:lang w:val="en-GB"/>
              </w:rPr>
              <w:t>•</w:t>
            </w:r>
            <w:r>
              <w:rPr>
                <w:lang w:val="en-GB"/>
              </w:rPr>
              <w:t xml:space="preserve"> goods exported by individuals for personal use</w:t>
            </w:r>
          </w:p>
          <w:p w14:paraId="5F6C2039" w14:textId="77777777" w:rsidR="00523F8B" w:rsidRDefault="00523F8B" w:rsidP="00523F8B">
            <w:pPr>
              <w:rPr>
                <w:lang w:val="en-GB"/>
              </w:rPr>
            </w:pPr>
            <w:r w:rsidRPr="00782A34">
              <w:rPr>
                <w:lang w:val="en-GB"/>
              </w:rPr>
              <w:t>•</w:t>
            </w:r>
            <w:r>
              <w:rPr>
                <w:lang w:val="en-GB"/>
              </w:rPr>
              <w:t xml:space="preserve"> goods exported to military units of Russia</w:t>
            </w:r>
          </w:p>
          <w:p w14:paraId="58E7F321" w14:textId="68264176" w:rsidR="00523F8B" w:rsidRPr="00523F8B" w:rsidRDefault="00523F8B" w:rsidP="00523F8B">
            <w:pPr>
              <w:rPr>
                <w:b/>
                <w:bCs/>
                <w:lang w:val="en-GB"/>
              </w:rPr>
            </w:pPr>
            <w:r w:rsidRPr="00782A34">
              <w:rPr>
                <w:lang w:val="en-GB"/>
              </w:rPr>
              <w:t>•</w:t>
            </w:r>
            <w:r>
              <w:rPr>
                <w:lang w:val="en-GB"/>
              </w:rPr>
              <w:t xml:space="preserve"> goods exported for use on Spitsbergen, etc.</w:t>
            </w:r>
          </w:p>
        </w:tc>
      </w:tr>
      <w:tr w:rsidR="00523F8B" w14:paraId="047B4A0A" w14:textId="77777777" w:rsidTr="002B09F5">
        <w:tc>
          <w:tcPr>
            <w:tcW w:w="1413" w:type="dxa"/>
          </w:tcPr>
          <w:p w14:paraId="6F301657" w14:textId="6FC5DCD3" w:rsidR="00523F8B" w:rsidRPr="002B09F5" w:rsidRDefault="00523F8B" w:rsidP="00523F8B">
            <w:pPr>
              <w:rPr>
                <w:b/>
                <w:bCs/>
                <w:lang w:val="en-GB"/>
              </w:rPr>
            </w:pPr>
            <w:r>
              <w:rPr>
                <w:b/>
                <w:bCs/>
                <w:lang w:val="en-GB"/>
              </w:rPr>
              <w:lastRenderedPageBreak/>
              <w:t>Export License</w:t>
            </w:r>
          </w:p>
        </w:tc>
        <w:tc>
          <w:tcPr>
            <w:tcW w:w="7649" w:type="dxa"/>
          </w:tcPr>
          <w:p w14:paraId="22D5F095" w14:textId="2AD6CC1D" w:rsidR="00523F8B" w:rsidRDefault="00523F8B" w:rsidP="00523F8B">
            <w:pPr>
              <w:jc w:val="center"/>
              <w:rPr>
                <w:lang w:val="en-GB"/>
              </w:rPr>
            </w:pPr>
            <w:r>
              <w:rPr>
                <w:lang w:val="en-GB"/>
              </w:rPr>
              <w:t>Not allowed</w:t>
            </w:r>
          </w:p>
        </w:tc>
      </w:tr>
    </w:tbl>
    <w:p w14:paraId="140BA51E" w14:textId="7BEC6AD7" w:rsidR="002B09F5" w:rsidRDefault="002B09F5" w:rsidP="00981793">
      <w:pPr>
        <w:spacing w:after="240"/>
        <w:rPr>
          <w:lang w:val="en-GB"/>
        </w:rPr>
      </w:pPr>
    </w:p>
    <w:p w14:paraId="37CBAC39" w14:textId="31A8C7CA" w:rsidR="00422113" w:rsidRDefault="00422113" w:rsidP="00981793">
      <w:pPr>
        <w:spacing w:after="240"/>
        <w:rPr>
          <w:lang w:val="en-GB"/>
        </w:rPr>
      </w:pPr>
      <w:r>
        <w:rPr>
          <w:b/>
          <w:bCs/>
          <w:u w:val="single"/>
          <w:lang w:val="en-GB"/>
        </w:rPr>
        <w:t>Food products, cereals and fertilizers</w:t>
      </w:r>
    </w:p>
    <w:tbl>
      <w:tblPr>
        <w:tblStyle w:val="Tabelraster"/>
        <w:tblW w:w="5000" w:type="pct"/>
        <w:tblLook w:val="04A0" w:firstRow="1" w:lastRow="0" w:firstColumn="1" w:lastColumn="0" w:noHBand="0" w:noVBand="1"/>
      </w:tblPr>
      <w:tblGrid>
        <w:gridCol w:w="1327"/>
        <w:gridCol w:w="2552"/>
        <w:gridCol w:w="22"/>
        <w:gridCol w:w="2530"/>
        <w:gridCol w:w="759"/>
        <w:gridCol w:w="1792"/>
        <w:gridCol w:w="80"/>
      </w:tblGrid>
      <w:tr w:rsidR="0088617E" w14:paraId="61B1AB36" w14:textId="77777777" w:rsidTr="0088617E">
        <w:trPr>
          <w:gridAfter w:val="1"/>
          <w:wAfter w:w="46" w:type="pct"/>
        </w:trPr>
        <w:tc>
          <w:tcPr>
            <w:tcW w:w="732" w:type="pct"/>
          </w:tcPr>
          <w:p w14:paraId="3D9F40E0" w14:textId="77777777" w:rsidR="00422113" w:rsidRDefault="00422113" w:rsidP="009C3A9A">
            <w:pPr>
              <w:rPr>
                <w:lang w:val="en-GB"/>
              </w:rPr>
            </w:pPr>
          </w:p>
        </w:tc>
        <w:tc>
          <w:tcPr>
            <w:tcW w:w="1408" w:type="pct"/>
          </w:tcPr>
          <w:p w14:paraId="2188994F" w14:textId="3413D214" w:rsidR="00422113" w:rsidRPr="009C3A9A" w:rsidRDefault="009C3A9A" w:rsidP="009C3A9A">
            <w:pPr>
              <w:rPr>
                <w:b/>
                <w:bCs/>
                <w:lang w:val="en-GB"/>
              </w:rPr>
            </w:pPr>
            <w:r>
              <w:rPr>
                <w:b/>
                <w:bCs/>
                <w:lang w:val="en-GB"/>
              </w:rPr>
              <w:t>Government Decree No. 361</w:t>
            </w:r>
          </w:p>
        </w:tc>
        <w:tc>
          <w:tcPr>
            <w:tcW w:w="1408" w:type="pct"/>
            <w:gridSpan w:val="2"/>
          </w:tcPr>
          <w:p w14:paraId="106E2D90" w14:textId="207C3AD8" w:rsidR="00422113" w:rsidRPr="009C3A9A" w:rsidRDefault="009C3A9A" w:rsidP="009C3A9A">
            <w:pPr>
              <w:rPr>
                <w:b/>
                <w:bCs/>
                <w:lang w:val="en-GB"/>
              </w:rPr>
            </w:pPr>
            <w:r>
              <w:rPr>
                <w:b/>
                <w:bCs/>
                <w:lang w:val="en-GB"/>
              </w:rPr>
              <w:t>Government Decree No. 362</w:t>
            </w:r>
          </w:p>
        </w:tc>
        <w:tc>
          <w:tcPr>
            <w:tcW w:w="1408" w:type="pct"/>
            <w:gridSpan w:val="2"/>
          </w:tcPr>
          <w:p w14:paraId="6DD6BA30" w14:textId="5525016A" w:rsidR="00422113" w:rsidRPr="009C3A9A" w:rsidRDefault="009C3A9A" w:rsidP="009C3A9A">
            <w:pPr>
              <w:rPr>
                <w:b/>
                <w:bCs/>
                <w:lang w:val="en-GB"/>
              </w:rPr>
            </w:pPr>
            <w:r>
              <w:rPr>
                <w:b/>
                <w:bCs/>
                <w:lang w:val="en-GB"/>
              </w:rPr>
              <w:t>Government Decree No. 529</w:t>
            </w:r>
          </w:p>
        </w:tc>
      </w:tr>
      <w:tr w:rsidR="007B625A" w:rsidRPr="007665C7" w14:paraId="4C7A27B4" w14:textId="77777777" w:rsidTr="004D713C">
        <w:tc>
          <w:tcPr>
            <w:tcW w:w="732" w:type="pct"/>
          </w:tcPr>
          <w:p w14:paraId="7802267B" w14:textId="46B2326E" w:rsidR="009C3A9A" w:rsidRPr="00422113" w:rsidRDefault="009C3A9A" w:rsidP="009C3A9A">
            <w:pPr>
              <w:rPr>
                <w:b/>
                <w:bCs/>
                <w:lang w:val="en-GB"/>
              </w:rPr>
            </w:pPr>
            <w:r>
              <w:rPr>
                <w:b/>
                <w:bCs/>
                <w:lang w:val="en-GB"/>
              </w:rPr>
              <w:t>Measure</w:t>
            </w:r>
          </w:p>
        </w:tc>
        <w:tc>
          <w:tcPr>
            <w:tcW w:w="4268" w:type="pct"/>
            <w:gridSpan w:val="6"/>
          </w:tcPr>
          <w:p w14:paraId="21261180" w14:textId="1AD6DAE2" w:rsidR="009C3A9A" w:rsidRDefault="009C3A9A" w:rsidP="009C3A9A">
            <w:pPr>
              <w:jc w:val="center"/>
              <w:rPr>
                <w:lang w:val="en-GB"/>
              </w:rPr>
            </w:pPr>
            <w:r>
              <w:rPr>
                <w:lang w:val="en-GB"/>
              </w:rPr>
              <w:t>Temporary export ban outside Russia</w:t>
            </w:r>
          </w:p>
        </w:tc>
      </w:tr>
      <w:tr w:rsidR="007B625A" w14:paraId="4919A994" w14:textId="77777777" w:rsidTr="004D713C">
        <w:tc>
          <w:tcPr>
            <w:tcW w:w="732" w:type="pct"/>
          </w:tcPr>
          <w:p w14:paraId="0551F3D2" w14:textId="35A1BE60" w:rsidR="00422113" w:rsidRPr="00422113" w:rsidRDefault="00422113" w:rsidP="009C3A9A">
            <w:pPr>
              <w:rPr>
                <w:b/>
                <w:bCs/>
                <w:lang w:val="en-GB"/>
              </w:rPr>
            </w:pPr>
            <w:r>
              <w:rPr>
                <w:b/>
                <w:bCs/>
                <w:lang w:val="en-GB"/>
              </w:rPr>
              <w:t>Validity</w:t>
            </w:r>
          </w:p>
        </w:tc>
        <w:tc>
          <w:tcPr>
            <w:tcW w:w="1420" w:type="pct"/>
            <w:gridSpan w:val="2"/>
          </w:tcPr>
          <w:p w14:paraId="34036115" w14:textId="1868DF01" w:rsidR="00422113" w:rsidRDefault="009C3A9A" w:rsidP="007B625A">
            <w:pPr>
              <w:jc w:val="center"/>
              <w:rPr>
                <w:lang w:val="en-GB"/>
              </w:rPr>
            </w:pPr>
            <w:r>
              <w:rPr>
                <w:lang w:val="en-GB"/>
              </w:rPr>
              <w:t>Until 31 August 2022</w:t>
            </w:r>
          </w:p>
        </w:tc>
        <w:tc>
          <w:tcPr>
            <w:tcW w:w="1815" w:type="pct"/>
            <w:gridSpan w:val="2"/>
          </w:tcPr>
          <w:p w14:paraId="00B03966" w14:textId="1B72EC32" w:rsidR="00422113" w:rsidRDefault="009C3A9A" w:rsidP="007B625A">
            <w:pPr>
              <w:jc w:val="center"/>
              <w:rPr>
                <w:lang w:val="en-GB"/>
              </w:rPr>
            </w:pPr>
            <w:r>
              <w:rPr>
                <w:lang w:val="en-GB"/>
              </w:rPr>
              <w:t>Until 30 June 2022</w:t>
            </w:r>
          </w:p>
        </w:tc>
        <w:tc>
          <w:tcPr>
            <w:tcW w:w="1033" w:type="pct"/>
            <w:gridSpan w:val="2"/>
          </w:tcPr>
          <w:p w14:paraId="0396BE92" w14:textId="0C14B176" w:rsidR="00422113" w:rsidRDefault="009C3A9A" w:rsidP="007B625A">
            <w:pPr>
              <w:jc w:val="center"/>
              <w:rPr>
                <w:lang w:val="en-GB"/>
              </w:rPr>
            </w:pPr>
            <w:r>
              <w:rPr>
                <w:lang w:val="en-GB"/>
              </w:rPr>
              <w:t>Until 31 August 2022</w:t>
            </w:r>
          </w:p>
        </w:tc>
      </w:tr>
      <w:tr w:rsidR="007B625A" w14:paraId="0B9A684D" w14:textId="77777777" w:rsidTr="004D713C">
        <w:tc>
          <w:tcPr>
            <w:tcW w:w="732" w:type="pct"/>
          </w:tcPr>
          <w:p w14:paraId="788B5D20" w14:textId="765904E3" w:rsidR="00422113" w:rsidRPr="00422113" w:rsidRDefault="009C3A9A" w:rsidP="009C3A9A">
            <w:pPr>
              <w:rPr>
                <w:b/>
                <w:bCs/>
                <w:lang w:val="en-GB"/>
              </w:rPr>
            </w:pPr>
            <w:r>
              <w:rPr>
                <w:b/>
                <w:bCs/>
                <w:lang w:val="en-GB"/>
              </w:rPr>
              <w:t>Products</w:t>
            </w:r>
          </w:p>
        </w:tc>
        <w:tc>
          <w:tcPr>
            <w:tcW w:w="1420" w:type="pct"/>
            <w:gridSpan w:val="2"/>
          </w:tcPr>
          <w:p w14:paraId="08141B3A" w14:textId="77777777" w:rsidR="00422113" w:rsidRDefault="009C3A9A" w:rsidP="009C3A9A">
            <w:pPr>
              <w:rPr>
                <w:lang w:val="en-GB"/>
              </w:rPr>
            </w:pPr>
            <w:r w:rsidRPr="00782A34">
              <w:rPr>
                <w:lang w:val="en-GB"/>
              </w:rPr>
              <w:t>•</w:t>
            </w:r>
            <w:r>
              <w:rPr>
                <w:lang w:val="en-GB"/>
              </w:rPr>
              <w:t xml:space="preserve"> white sugar</w:t>
            </w:r>
          </w:p>
          <w:p w14:paraId="158084B8" w14:textId="3AD85B2F" w:rsidR="009C3A9A" w:rsidRDefault="009C3A9A" w:rsidP="009C3A9A">
            <w:pPr>
              <w:rPr>
                <w:lang w:val="en-GB"/>
              </w:rPr>
            </w:pPr>
            <w:r w:rsidRPr="00782A34">
              <w:rPr>
                <w:lang w:val="en-GB"/>
              </w:rPr>
              <w:t>•</w:t>
            </w:r>
            <w:r>
              <w:rPr>
                <w:lang w:val="en-GB"/>
              </w:rPr>
              <w:t xml:space="preserve"> raw cane sugar</w:t>
            </w:r>
          </w:p>
        </w:tc>
        <w:tc>
          <w:tcPr>
            <w:tcW w:w="1815" w:type="pct"/>
            <w:gridSpan w:val="2"/>
          </w:tcPr>
          <w:p w14:paraId="7E70567D" w14:textId="63418C4B" w:rsidR="00422113" w:rsidRDefault="009C3A9A" w:rsidP="009C3A9A">
            <w:pPr>
              <w:rPr>
                <w:lang w:val="en-GB"/>
              </w:rPr>
            </w:pPr>
            <w:r w:rsidRPr="00782A34">
              <w:rPr>
                <w:lang w:val="en-GB"/>
              </w:rPr>
              <w:t>•</w:t>
            </w:r>
            <w:r>
              <w:rPr>
                <w:lang w:val="en-GB"/>
              </w:rPr>
              <w:t xml:space="preserve">grain </w:t>
            </w:r>
            <w:r w:rsidR="00B9600D">
              <w:rPr>
                <w:lang w:val="en-GB"/>
              </w:rPr>
              <w:t>crops (wheat and meslin, rye, barley and corn)</w:t>
            </w:r>
          </w:p>
        </w:tc>
        <w:tc>
          <w:tcPr>
            <w:tcW w:w="1033" w:type="pct"/>
            <w:gridSpan w:val="2"/>
          </w:tcPr>
          <w:p w14:paraId="36B2FCD6" w14:textId="74C43CAE" w:rsidR="00422113" w:rsidRDefault="00B9600D" w:rsidP="009C3A9A">
            <w:pPr>
              <w:rPr>
                <w:lang w:val="en-GB"/>
              </w:rPr>
            </w:pPr>
            <w:r w:rsidRPr="00782A34">
              <w:rPr>
                <w:lang w:val="en-GB"/>
              </w:rPr>
              <w:t>•</w:t>
            </w:r>
            <w:r>
              <w:rPr>
                <w:lang w:val="en-GB"/>
              </w:rPr>
              <w:t xml:space="preserve"> rapeseed and sunflower seeds</w:t>
            </w:r>
          </w:p>
        </w:tc>
      </w:tr>
      <w:tr w:rsidR="00937583" w:rsidRPr="007665C7" w14:paraId="75F6C507" w14:textId="77777777" w:rsidTr="0088617E">
        <w:tc>
          <w:tcPr>
            <w:tcW w:w="732" w:type="pct"/>
          </w:tcPr>
          <w:p w14:paraId="3D9FFB2F" w14:textId="61B8DC0E" w:rsidR="00B9600D" w:rsidRPr="00422113" w:rsidRDefault="00B9600D" w:rsidP="009C3A9A">
            <w:pPr>
              <w:rPr>
                <w:b/>
                <w:bCs/>
                <w:lang w:val="en-GB"/>
              </w:rPr>
            </w:pPr>
            <w:r>
              <w:rPr>
                <w:b/>
                <w:bCs/>
                <w:lang w:val="en-GB"/>
              </w:rPr>
              <w:t>Exemptions</w:t>
            </w:r>
          </w:p>
        </w:tc>
        <w:tc>
          <w:tcPr>
            <w:tcW w:w="3235" w:type="pct"/>
            <w:gridSpan w:val="4"/>
          </w:tcPr>
          <w:p w14:paraId="1D78488A" w14:textId="77777777" w:rsidR="00B9600D" w:rsidRDefault="00B9600D" w:rsidP="009C3A9A">
            <w:pPr>
              <w:rPr>
                <w:lang w:val="en-GB"/>
              </w:rPr>
            </w:pPr>
            <w:r w:rsidRPr="00782A34">
              <w:rPr>
                <w:lang w:val="en-GB"/>
              </w:rPr>
              <w:t>•</w:t>
            </w:r>
            <w:r>
              <w:rPr>
                <w:lang w:val="en-GB"/>
              </w:rPr>
              <w:t xml:space="preserve"> </w:t>
            </w:r>
            <w:r w:rsidR="00534B62">
              <w:rPr>
                <w:lang w:val="en-GB"/>
              </w:rPr>
              <w:t xml:space="preserve">goods in transit </w:t>
            </w:r>
          </w:p>
          <w:p w14:paraId="7F6D7F07" w14:textId="77777777" w:rsidR="00534B62" w:rsidRDefault="00534B62" w:rsidP="009C3A9A">
            <w:pPr>
              <w:rPr>
                <w:lang w:val="en-GB"/>
              </w:rPr>
            </w:pPr>
            <w:r w:rsidRPr="00782A34">
              <w:rPr>
                <w:lang w:val="en-GB"/>
              </w:rPr>
              <w:t>•</w:t>
            </w:r>
            <w:r>
              <w:rPr>
                <w:lang w:val="en-GB"/>
              </w:rPr>
              <w:t xml:space="preserve"> goods exported to military units of Russia </w:t>
            </w:r>
          </w:p>
          <w:p w14:paraId="4DE9780E" w14:textId="77777777" w:rsidR="00534B62" w:rsidRDefault="00534B62" w:rsidP="009C3A9A">
            <w:pPr>
              <w:rPr>
                <w:lang w:val="en-GB"/>
              </w:rPr>
            </w:pPr>
            <w:r w:rsidRPr="00782A34">
              <w:rPr>
                <w:lang w:val="en-GB"/>
              </w:rPr>
              <w:t>•</w:t>
            </w:r>
            <w:r>
              <w:rPr>
                <w:lang w:val="en-GB"/>
              </w:rPr>
              <w:t xml:space="preserve"> goods exported </w:t>
            </w:r>
            <w:r w:rsidR="002E7DE9">
              <w:rPr>
                <w:lang w:val="en-GB"/>
              </w:rPr>
              <w:t>for use on Spitsbergen and at Baikonur</w:t>
            </w:r>
          </w:p>
          <w:p w14:paraId="289D1026" w14:textId="20DA3018" w:rsidR="002E7DE9" w:rsidRPr="00534B62" w:rsidRDefault="002E7DE9" w:rsidP="009C3A9A">
            <w:pPr>
              <w:rPr>
                <w:b/>
                <w:bCs/>
                <w:lang w:val="en-GB"/>
              </w:rPr>
            </w:pPr>
            <w:r w:rsidRPr="00782A34">
              <w:rPr>
                <w:lang w:val="en-GB"/>
              </w:rPr>
              <w:t>•</w:t>
            </w:r>
            <w:r>
              <w:rPr>
                <w:lang w:val="en-GB"/>
              </w:rPr>
              <w:t xml:space="preserve"> goods exported to Belarus</w:t>
            </w:r>
          </w:p>
        </w:tc>
        <w:tc>
          <w:tcPr>
            <w:tcW w:w="1033" w:type="pct"/>
            <w:gridSpan w:val="2"/>
          </w:tcPr>
          <w:p w14:paraId="7AD6C37D" w14:textId="77777777" w:rsidR="00B9600D" w:rsidRDefault="002E7DE9" w:rsidP="009C3A9A">
            <w:pPr>
              <w:rPr>
                <w:lang w:val="en-GB"/>
              </w:rPr>
            </w:pPr>
            <w:r w:rsidRPr="00782A34">
              <w:rPr>
                <w:lang w:val="en-GB"/>
              </w:rPr>
              <w:t>•</w:t>
            </w:r>
            <w:r>
              <w:rPr>
                <w:lang w:val="en-GB"/>
              </w:rPr>
              <w:t xml:space="preserve"> goods in transit</w:t>
            </w:r>
          </w:p>
          <w:p w14:paraId="429268DB" w14:textId="77777777" w:rsidR="002E7DE9" w:rsidRDefault="002E7DE9" w:rsidP="009C3A9A">
            <w:pPr>
              <w:rPr>
                <w:lang w:val="en-GB"/>
              </w:rPr>
            </w:pPr>
            <w:r>
              <w:rPr>
                <w:lang w:val="en-GB"/>
              </w:rPr>
              <w:t>Goods exported to military units of Russia</w:t>
            </w:r>
          </w:p>
          <w:p w14:paraId="2C814312" w14:textId="24B71977" w:rsidR="002E7DE9" w:rsidRDefault="002E7DE9" w:rsidP="009C3A9A">
            <w:pPr>
              <w:rPr>
                <w:lang w:val="en-GB"/>
              </w:rPr>
            </w:pPr>
            <w:r w:rsidRPr="00782A34">
              <w:rPr>
                <w:lang w:val="en-GB"/>
              </w:rPr>
              <w:t>•</w:t>
            </w:r>
            <w:r>
              <w:rPr>
                <w:lang w:val="en-GB"/>
              </w:rPr>
              <w:t xml:space="preserve"> goods exported to the EAEU</w:t>
            </w:r>
          </w:p>
        </w:tc>
      </w:tr>
      <w:tr w:rsidR="007B625A" w14:paraId="085A28E7" w14:textId="77777777" w:rsidTr="004D713C">
        <w:tc>
          <w:tcPr>
            <w:tcW w:w="732" w:type="pct"/>
          </w:tcPr>
          <w:p w14:paraId="16F1A64A" w14:textId="135C245B" w:rsidR="00422113" w:rsidRPr="009C3A9A" w:rsidRDefault="009C3A9A" w:rsidP="009C3A9A">
            <w:pPr>
              <w:rPr>
                <w:b/>
                <w:bCs/>
                <w:lang w:val="en-GB"/>
              </w:rPr>
            </w:pPr>
            <w:r>
              <w:rPr>
                <w:b/>
                <w:bCs/>
                <w:lang w:val="en-GB"/>
              </w:rPr>
              <w:t>Export license</w:t>
            </w:r>
          </w:p>
        </w:tc>
        <w:tc>
          <w:tcPr>
            <w:tcW w:w="1420" w:type="pct"/>
            <w:gridSpan w:val="2"/>
          </w:tcPr>
          <w:p w14:paraId="0A8F281A" w14:textId="44FD6A81" w:rsidR="007B625A" w:rsidRPr="007B625A" w:rsidRDefault="007B625A" w:rsidP="007B625A">
            <w:pPr>
              <w:rPr>
                <w:lang w:val="en-GB"/>
              </w:rPr>
            </w:pPr>
            <w:r w:rsidRPr="007B625A">
              <w:rPr>
                <w:lang w:val="en-GB"/>
              </w:rPr>
              <w:t>•</w:t>
            </w:r>
            <w:r>
              <w:rPr>
                <w:lang w:val="en-GB"/>
              </w:rPr>
              <w:t xml:space="preserve"> </w:t>
            </w:r>
            <w:r w:rsidRPr="007B625A">
              <w:rPr>
                <w:lang w:val="en-GB"/>
              </w:rPr>
              <w:t>special export permit of the</w:t>
            </w:r>
            <w:r>
              <w:rPr>
                <w:lang w:val="en-GB"/>
              </w:rPr>
              <w:t xml:space="preserve"> </w:t>
            </w:r>
            <w:r w:rsidRPr="007B625A">
              <w:rPr>
                <w:lang w:val="en-GB"/>
              </w:rPr>
              <w:t>Ministry of</w:t>
            </w:r>
            <w:r>
              <w:rPr>
                <w:lang w:val="en-GB"/>
              </w:rPr>
              <w:t xml:space="preserve"> </w:t>
            </w:r>
            <w:r w:rsidRPr="007B625A">
              <w:rPr>
                <w:lang w:val="en-GB"/>
              </w:rPr>
              <w:t>Agriculture for</w:t>
            </w:r>
            <w:r>
              <w:rPr>
                <w:lang w:val="en-GB"/>
              </w:rPr>
              <w:t xml:space="preserve"> </w:t>
            </w:r>
            <w:r w:rsidRPr="007B625A">
              <w:rPr>
                <w:lang w:val="en-GB"/>
              </w:rPr>
              <w:t>exportation to the EAEU</w:t>
            </w:r>
          </w:p>
          <w:p w14:paraId="4F852B64" w14:textId="58B3B8A3" w:rsidR="00422113" w:rsidRDefault="007B625A" w:rsidP="007B625A">
            <w:pPr>
              <w:rPr>
                <w:lang w:val="en-GB"/>
              </w:rPr>
            </w:pPr>
            <w:r w:rsidRPr="007B625A">
              <w:rPr>
                <w:lang w:val="en-GB"/>
              </w:rPr>
              <w:t>•</w:t>
            </w:r>
            <w:r>
              <w:rPr>
                <w:lang w:val="en-GB"/>
              </w:rPr>
              <w:t xml:space="preserve"> </w:t>
            </w:r>
            <w:r w:rsidRPr="007B625A">
              <w:rPr>
                <w:lang w:val="en-GB"/>
              </w:rPr>
              <w:t>of white sugar (HS code</w:t>
            </w:r>
            <w:r>
              <w:rPr>
                <w:lang w:val="en-GB"/>
              </w:rPr>
              <w:t xml:space="preserve"> </w:t>
            </w:r>
            <w:r w:rsidRPr="007B625A">
              <w:rPr>
                <w:lang w:val="en-GB"/>
              </w:rPr>
              <w:t>1701.99.100)</w:t>
            </w:r>
          </w:p>
        </w:tc>
        <w:tc>
          <w:tcPr>
            <w:tcW w:w="1815" w:type="pct"/>
            <w:gridSpan w:val="2"/>
          </w:tcPr>
          <w:p w14:paraId="77F02AC4" w14:textId="6C246087" w:rsidR="007B625A" w:rsidRDefault="007B625A" w:rsidP="007B625A">
            <w:pPr>
              <w:pStyle w:val="Default"/>
              <w:rPr>
                <w:sz w:val="23"/>
                <w:szCs w:val="23"/>
                <w:lang w:val="en-GB"/>
              </w:rPr>
            </w:pPr>
            <w:r w:rsidRPr="007B625A">
              <w:rPr>
                <w:lang w:val="en-GB"/>
              </w:rPr>
              <w:t>•</w:t>
            </w:r>
            <w:r>
              <w:rPr>
                <w:lang w:val="en-GB"/>
              </w:rPr>
              <w:t xml:space="preserve"> </w:t>
            </w:r>
            <w:r w:rsidRPr="007B625A">
              <w:rPr>
                <w:sz w:val="23"/>
                <w:szCs w:val="23"/>
                <w:lang w:val="en-GB"/>
              </w:rPr>
              <w:t>one-shot licens</w:t>
            </w:r>
            <w:r>
              <w:rPr>
                <w:sz w:val="23"/>
                <w:szCs w:val="23"/>
                <w:lang w:val="en-GB"/>
              </w:rPr>
              <w:t xml:space="preserve">e </w:t>
            </w:r>
            <w:r w:rsidRPr="007B625A">
              <w:rPr>
                <w:sz w:val="23"/>
                <w:szCs w:val="23"/>
                <w:lang w:val="en-GB"/>
              </w:rPr>
              <w:t>is issued by the Ministry of Industry and</w:t>
            </w:r>
            <w:r>
              <w:rPr>
                <w:sz w:val="23"/>
                <w:szCs w:val="23"/>
                <w:lang w:val="en-GB"/>
              </w:rPr>
              <w:t xml:space="preserve"> </w:t>
            </w:r>
            <w:r w:rsidRPr="007B625A">
              <w:rPr>
                <w:sz w:val="23"/>
                <w:szCs w:val="23"/>
                <w:lang w:val="en-GB"/>
              </w:rPr>
              <w:t>Trade for export all above-listed goods</w:t>
            </w:r>
            <w:r>
              <w:rPr>
                <w:sz w:val="23"/>
                <w:szCs w:val="23"/>
                <w:lang w:val="en-GB"/>
              </w:rPr>
              <w:t xml:space="preserve"> </w:t>
            </w:r>
            <w:r w:rsidRPr="007B625A">
              <w:rPr>
                <w:sz w:val="23"/>
                <w:szCs w:val="23"/>
                <w:lang w:val="en-GB"/>
              </w:rPr>
              <w:t>outside the EAEU</w:t>
            </w:r>
          </w:p>
          <w:p w14:paraId="740DBDDA" w14:textId="47407FA8" w:rsidR="007B625A" w:rsidRPr="007B625A" w:rsidRDefault="007B625A" w:rsidP="007B625A">
            <w:pPr>
              <w:pStyle w:val="Default"/>
              <w:rPr>
                <w:sz w:val="23"/>
                <w:szCs w:val="23"/>
                <w:lang w:val="en-GB"/>
              </w:rPr>
            </w:pPr>
            <w:r w:rsidRPr="007B625A">
              <w:rPr>
                <w:sz w:val="23"/>
                <w:szCs w:val="23"/>
                <w:lang w:val="en-GB"/>
              </w:rPr>
              <w:t>•</w:t>
            </w:r>
            <w:r>
              <w:rPr>
                <w:sz w:val="23"/>
                <w:szCs w:val="23"/>
                <w:lang w:val="en-GB"/>
              </w:rPr>
              <w:t xml:space="preserve"> </w:t>
            </w:r>
            <w:r w:rsidRPr="007B625A">
              <w:rPr>
                <w:sz w:val="23"/>
                <w:szCs w:val="23"/>
                <w:lang w:val="en-GB"/>
              </w:rPr>
              <w:t>one-time permit is issued by the Ministry of Agriculture for export</w:t>
            </w:r>
            <w:r>
              <w:rPr>
                <w:sz w:val="23"/>
                <w:szCs w:val="23"/>
                <w:lang w:val="en-GB"/>
              </w:rPr>
              <w:t xml:space="preserve"> </w:t>
            </w:r>
            <w:r w:rsidRPr="007B625A">
              <w:rPr>
                <w:sz w:val="23"/>
                <w:szCs w:val="23"/>
                <w:lang w:val="en-GB"/>
              </w:rPr>
              <w:t>of wheat and meslin</w:t>
            </w:r>
            <w:r>
              <w:rPr>
                <w:sz w:val="23"/>
                <w:szCs w:val="23"/>
                <w:lang w:val="en-GB"/>
              </w:rPr>
              <w:t xml:space="preserve"> </w:t>
            </w:r>
            <w:r w:rsidRPr="007B625A">
              <w:rPr>
                <w:sz w:val="23"/>
                <w:szCs w:val="23"/>
                <w:lang w:val="en-GB"/>
              </w:rPr>
              <w:t>seed, rye seed and corn seed</w:t>
            </w:r>
          </w:p>
          <w:p w14:paraId="42DE723F" w14:textId="77777777" w:rsidR="00422113" w:rsidRDefault="00422113" w:rsidP="009C3A9A">
            <w:pPr>
              <w:rPr>
                <w:lang w:val="en-GB"/>
              </w:rPr>
            </w:pPr>
          </w:p>
        </w:tc>
        <w:tc>
          <w:tcPr>
            <w:tcW w:w="1033" w:type="pct"/>
            <w:gridSpan w:val="2"/>
          </w:tcPr>
          <w:p w14:paraId="6AD1A956" w14:textId="5DDAB8FB" w:rsidR="00422113" w:rsidRDefault="007B625A" w:rsidP="007B625A">
            <w:pPr>
              <w:jc w:val="center"/>
              <w:rPr>
                <w:lang w:val="en-GB"/>
              </w:rPr>
            </w:pPr>
            <w:r>
              <w:rPr>
                <w:lang w:val="en-GB"/>
              </w:rPr>
              <w:t>N/A</w:t>
            </w:r>
          </w:p>
        </w:tc>
      </w:tr>
    </w:tbl>
    <w:p w14:paraId="1B5B7E79" w14:textId="314D900C" w:rsidR="00AB1A9A" w:rsidRDefault="00AB1A9A" w:rsidP="00981793">
      <w:pPr>
        <w:spacing w:after="240"/>
        <w:rPr>
          <w:lang w:val="en-GB"/>
        </w:rPr>
      </w:pPr>
    </w:p>
    <w:p w14:paraId="079BED5C" w14:textId="6D3BE5FB" w:rsidR="00AB1A9A" w:rsidRDefault="00AB1A9A" w:rsidP="00981793">
      <w:pPr>
        <w:spacing w:after="240"/>
        <w:rPr>
          <w:i/>
          <w:iCs/>
          <w:u w:val="single"/>
          <w:lang w:val="en-GB"/>
        </w:rPr>
      </w:pPr>
      <w:r>
        <w:rPr>
          <w:b/>
          <w:bCs/>
          <w:u w:val="single"/>
          <w:lang w:val="en-GB"/>
        </w:rPr>
        <w:t>Praktische problemen</w:t>
      </w:r>
    </w:p>
    <w:p w14:paraId="2DF2CAB7" w14:textId="342BB8B4" w:rsidR="00AB1A9A" w:rsidRPr="00B25C47" w:rsidRDefault="00B25C47" w:rsidP="00B25C47">
      <w:pPr>
        <w:pStyle w:val="Lijstalinea"/>
        <w:numPr>
          <w:ilvl w:val="0"/>
          <w:numId w:val="1"/>
        </w:numPr>
        <w:spacing w:after="240"/>
        <w:rPr>
          <w:u w:val="single"/>
        </w:rPr>
      </w:pPr>
      <w:r w:rsidRPr="00B25C47">
        <w:t>Goederen die tijdelijk zijn geïmporteerd o</w:t>
      </w:r>
      <w:r>
        <w:t>f gehuurd/geleased en wanneer de huur/leasetermijn verstrijkt.</w:t>
      </w:r>
    </w:p>
    <w:p w14:paraId="0C59B0ED" w14:textId="6D385EC1" w:rsidR="00B25C47" w:rsidRPr="00003FEE" w:rsidRDefault="00B25C47" w:rsidP="00B25C47">
      <w:pPr>
        <w:pStyle w:val="Lijstalinea"/>
        <w:numPr>
          <w:ilvl w:val="1"/>
          <w:numId w:val="1"/>
        </w:numPr>
        <w:spacing w:after="240"/>
        <w:rPr>
          <w:u w:val="single"/>
        </w:rPr>
      </w:pPr>
      <w:r>
        <w:t xml:space="preserve">Hiervoor </w:t>
      </w:r>
      <w:r w:rsidR="00E61CF9">
        <w:t xml:space="preserve">bestaan geen uitzonderingen. Een </w:t>
      </w:r>
      <w:r w:rsidR="00003FEE">
        <w:t>praktische</w:t>
      </w:r>
      <w:r w:rsidR="00E61CF9">
        <w:t xml:space="preserve"> optie zou zijn om </w:t>
      </w:r>
      <w:r w:rsidR="004F11F5">
        <w:t xml:space="preserve">een beroep te doen op de overheid, bij het ministerie van economische ontwikkeling, het ministerie van Financiën en andere relevante organen. </w:t>
      </w:r>
      <w:r w:rsidR="00003FEE">
        <w:t xml:space="preserve">Er is geen succesgarantie. </w:t>
      </w:r>
    </w:p>
    <w:p w14:paraId="269805BB" w14:textId="7996168A" w:rsidR="00003FEE" w:rsidRPr="00406993" w:rsidRDefault="00003FEE" w:rsidP="00003FEE">
      <w:pPr>
        <w:pStyle w:val="Lijstalinea"/>
        <w:numPr>
          <w:ilvl w:val="0"/>
          <w:numId w:val="1"/>
        </w:numPr>
        <w:spacing w:after="240"/>
        <w:rPr>
          <w:u w:val="single"/>
          <w:lang w:val="en-GB"/>
        </w:rPr>
      </w:pPr>
      <w:r w:rsidRPr="00003FEE">
        <w:rPr>
          <w:lang w:val="en-GB"/>
        </w:rPr>
        <w:t>Export via Wit-Rusland of a</w:t>
      </w:r>
      <w:r>
        <w:rPr>
          <w:lang w:val="en-GB"/>
        </w:rPr>
        <w:t>ndere EAEU lidstaten</w:t>
      </w:r>
    </w:p>
    <w:p w14:paraId="0DEBA97E" w14:textId="7745C158" w:rsidR="00406993" w:rsidRPr="00B6502F" w:rsidRDefault="00406993" w:rsidP="00406993">
      <w:pPr>
        <w:pStyle w:val="Lijstalinea"/>
        <w:numPr>
          <w:ilvl w:val="1"/>
          <w:numId w:val="1"/>
        </w:numPr>
        <w:spacing w:after="240"/>
        <w:rPr>
          <w:u w:val="single"/>
        </w:rPr>
      </w:pPr>
      <w:r w:rsidRPr="00406993">
        <w:t>Kan worden gezien als het o</w:t>
      </w:r>
      <w:r>
        <w:t>mzeilen van exportbeperkingen en kan leiden tot</w:t>
      </w:r>
      <w:r w:rsidR="00B6502F">
        <w:t xml:space="preserve"> het instellen van boetes op de Russische exporteur.</w:t>
      </w:r>
    </w:p>
    <w:p w14:paraId="4A1742C1" w14:textId="77777777" w:rsidR="00B6502F" w:rsidRPr="00B6502F" w:rsidRDefault="00B6502F" w:rsidP="00B6502F">
      <w:pPr>
        <w:spacing w:after="240"/>
        <w:rPr>
          <w:u w:val="single"/>
        </w:rPr>
      </w:pPr>
    </w:p>
    <w:sectPr w:rsidR="00B6502F" w:rsidRPr="00B65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EBE"/>
    <w:multiLevelType w:val="hybridMultilevel"/>
    <w:tmpl w:val="A206625E"/>
    <w:lvl w:ilvl="0" w:tplc="175C89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D1C3E"/>
    <w:multiLevelType w:val="hybridMultilevel"/>
    <w:tmpl w:val="6382E2AE"/>
    <w:lvl w:ilvl="0" w:tplc="175C89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0C47CA"/>
    <w:multiLevelType w:val="hybridMultilevel"/>
    <w:tmpl w:val="9A288E0A"/>
    <w:lvl w:ilvl="0" w:tplc="175C89A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F26212B"/>
    <w:multiLevelType w:val="hybridMultilevel"/>
    <w:tmpl w:val="6256114A"/>
    <w:lvl w:ilvl="0" w:tplc="175C89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D14FEE"/>
    <w:multiLevelType w:val="hybridMultilevel"/>
    <w:tmpl w:val="704C78A0"/>
    <w:lvl w:ilvl="0" w:tplc="A680140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2A0C3A"/>
    <w:multiLevelType w:val="hybridMultilevel"/>
    <w:tmpl w:val="407C5FA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050308"/>
    <w:multiLevelType w:val="hybridMultilevel"/>
    <w:tmpl w:val="836C2D3C"/>
    <w:lvl w:ilvl="0" w:tplc="175C89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5032DA"/>
    <w:multiLevelType w:val="hybridMultilevel"/>
    <w:tmpl w:val="2D64B476"/>
    <w:lvl w:ilvl="0" w:tplc="A68014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34"/>
    <w:rsid w:val="00003FEE"/>
    <w:rsid w:val="00013AC9"/>
    <w:rsid w:val="00027EFE"/>
    <w:rsid w:val="00032F0E"/>
    <w:rsid w:val="0005392A"/>
    <w:rsid w:val="000555DF"/>
    <w:rsid w:val="00063F6D"/>
    <w:rsid w:val="00076F0B"/>
    <w:rsid w:val="00091D4A"/>
    <w:rsid w:val="000F082A"/>
    <w:rsid w:val="00112818"/>
    <w:rsid w:val="001138F8"/>
    <w:rsid w:val="00115D01"/>
    <w:rsid w:val="00123CBB"/>
    <w:rsid w:val="001516DA"/>
    <w:rsid w:val="00155502"/>
    <w:rsid w:val="00185F16"/>
    <w:rsid w:val="001870A1"/>
    <w:rsid w:val="00195D51"/>
    <w:rsid w:val="001A2FF2"/>
    <w:rsid w:val="001D20A7"/>
    <w:rsid w:val="001D43D8"/>
    <w:rsid w:val="001F6D74"/>
    <w:rsid w:val="001F75FD"/>
    <w:rsid w:val="00210A3C"/>
    <w:rsid w:val="00234C4B"/>
    <w:rsid w:val="002517D8"/>
    <w:rsid w:val="0028093E"/>
    <w:rsid w:val="00294D8F"/>
    <w:rsid w:val="002A2D28"/>
    <w:rsid w:val="002B09F5"/>
    <w:rsid w:val="002B3261"/>
    <w:rsid w:val="002B6C1A"/>
    <w:rsid w:val="002C5888"/>
    <w:rsid w:val="002E7DE9"/>
    <w:rsid w:val="00310827"/>
    <w:rsid w:val="0032441E"/>
    <w:rsid w:val="00330C34"/>
    <w:rsid w:val="00350D2E"/>
    <w:rsid w:val="00366683"/>
    <w:rsid w:val="00367F5E"/>
    <w:rsid w:val="00374E22"/>
    <w:rsid w:val="003855B6"/>
    <w:rsid w:val="003863AB"/>
    <w:rsid w:val="003B661B"/>
    <w:rsid w:val="003C6054"/>
    <w:rsid w:val="003D0B2B"/>
    <w:rsid w:val="00406993"/>
    <w:rsid w:val="00422113"/>
    <w:rsid w:val="00434084"/>
    <w:rsid w:val="004D4820"/>
    <w:rsid w:val="004D713C"/>
    <w:rsid w:val="004E53C5"/>
    <w:rsid w:val="004F11F5"/>
    <w:rsid w:val="005120AE"/>
    <w:rsid w:val="005140A7"/>
    <w:rsid w:val="00516CCE"/>
    <w:rsid w:val="00523F8B"/>
    <w:rsid w:val="00534B62"/>
    <w:rsid w:val="005433F8"/>
    <w:rsid w:val="00543C3E"/>
    <w:rsid w:val="00551D0B"/>
    <w:rsid w:val="0055262B"/>
    <w:rsid w:val="00553EC7"/>
    <w:rsid w:val="00561662"/>
    <w:rsid w:val="00573301"/>
    <w:rsid w:val="00580C04"/>
    <w:rsid w:val="00585D79"/>
    <w:rsid w:val="0059080D"/>
    <w:rsid w:val="005A250E"/>
    <w:rsid w:val="005C4DFA"/>
    <w:rsid w:val="006136B1"/>
    <w:rsid w:val="00670254"/>
    <w:rsid w:val="006A08E4"/>
    <w:rsid w:val="006B0147"/>
    <w:rsid w:val="006C287F"/>
    <w:rsid w:val="006F240B"/>
    <w:rsid w:val="00741E5A"/>
    <w:rsid w:val="00743008"/>
    <w:rsid w:val="00753992"/>
    <w:rsid w:val="00762D06"/>
    <w:rsid w:val="007665C7"/>
    <w:rsid w:val="00782A34"/>
    <w:rsid w:val="00792ABD"/>
    <w:rsid w:val="007B625A"/>
    <w:rsid w:val="007C344D"/>
    <w:rsid w:val="007C47CF"/>
    <w:rsid w:val="007D1889"/>
    <w:rsid w:val="007E45EB"/>
    <w:rsid w:val="00831023"/>
    <w:rsid w:val="0088617E"/>
    <w:rsid w:val="008D05F6"/>
    <w:rsid w:val="008D1B9F"/>
    <w:rsid w:val="008D3F6B"/>
    <w:rsid w:val="008F5B82"/>
    <w:rsid w:val="009109F0"/>
    <w:rsid w:val="00937583"/>
    <w:rsid w:val="00940F97"/>
    <w:rsid w:val="009735DA"/>
    <w:rsid w:val="00980EC9"/>
    <w:rsid w:val="00981793"/>
    <w:rsid w:val="009A5F44"/>
    <w:rsid w:val="009B112A"/>
    <w:rsid w:val="009C3A9A"/>
    <w:rsid w:val="009F67C4"/>
    <w:rsid w:val="00A24A1B"/>
    <w:rsid w:val="00A34036"/>
    <w:rsid w:val="00A42B3E"/>
    <w:rsid w:val="00AB1A9A"/>
    <w:rsid w:val="00AF7058"/>
    <w:rsid w:val="00AF72D2"/>
    <w:rsid w:val="00B02298"/>
    <w:rsid w:val="00B037AD"/>
    <w:rsid w:val="00B25C47"/>
    <w:rsid w:val="00B32350"/>
    <w:rsid w:val="00B3448B"/>
    <w:rsid w:val="00B6502F"/>
    <w:rsid w:val="00B90663"/>
    <w:rsid w:val="00B92BF2"/>
    <w:rsid w:val="00B9600D"/>
    <w:rsid w:val="00BA3FCA"/>
    <w:rsid w:val="00BC425A"/>
    <w:rsid w:val="00BD50E0"/>
    <w:rsid w:val="00BD56EE"/>
    <w:rsid w:val="00BE7EEA"/>
    <w:rsid w:val="00C110EA"/>
    <w:rsid w:val="00C8656D"/>
    <w:rsid w:val="00CB3D05"/>
    <w:rsid w:val="00CD1721"/>
    <w:rsid w:val="00CE0507"/>
    <w:rsid w:val="00CE7C36"/>
    <w:rsid w:val="00CF00DD"/>
    <w:rsid w:val="00CF0496"/>
    <w:rsid w:val="00D03E9D"/>
    <w:rsid w:val="00D26467"/>
    <w:rsid w:val="00D34427"/>
    <w:rsid w:val="00D557C2"/>
    <w:rsid w:val="00D72AD1"/>
    <w:rsid w:val="00D862FB"/>
    <w:rsid w:val="00DB0D91"/>
    <w:rsid w:val="00E24A84"/>
    <w:rsid w:val="00E61CF9"/>
    <w:rsid w:val="00E64C07"/>
    <w:rsid w:val="00EB63C3"/>
    <w:rsid w:val="00F64B12"/>
    <w:rsid w:val="00F72D7A"/>
    <w:rsid w:val="00F74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0355"/>
  <w15:chartTrackingRefBased/>
  <w15:docId w15:val="{649939B8-991B-4020-8396-8119A16A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0C3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5D79"/>
    <w:pPr>
      <w:spacing w:after="0"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330C34"/>
    <w:rPr>
      <w:color w:val="0563C1"/>
      <w:u w:val="single"/>
    </w:rPr>
  </w:style>
  <w:style w:type="paragraph" w:customStyle="1" w:styleId="Default">
    <w:name w:val="Default"/>
    <w:basedOn w:val="Standaard"/>
    <w:rsid w:val="00330C34"/>
    <w:pPr>
      <w:autoSpaceDE w:val="0"/>
      <w:autoSpaceDN w:val="0"/>
    </w:pPr>
    <w:rPr>
      <w:color w:val="000000"/>
      <w:sz w:val="24"/>
      <w:szCs w:val="24"/>
    </w:rPr>
  </w:style>
  <w:style w:type="paragraph" w:styleId="Lijstalinea">
    <w:name w:val="List Paragraph"/>
    <w:basedOn w:val="Standaard"/>
    <w:uiPriority w:val="34"/>
    <w:qFormat/>
    <w:rsid w:val="00330C34"/>
    <w:pPr>
      <w:ind w:left="720"/>
      <w:contextualSpacing/>
    </w:pPr>
  </w:style>
  <w:style w:type="character" w:styleId="Onopgelostemelding">
    <w:name w:val="Unresolved Mention"/>
    <w:basedOn w:val="Standaardalinea-lettertype"/>
    <w:uiPriority w:val="99"/>
    <w:semiHidden/>
    <w:unhideWhenUsed/>
    <w:rsid w:val="005433F8"/>
    <w:rPr>
      <w:color w:val="605E5C"/>
      <w:shd w:val="clear" w:color="auto" w:fill="E1DFDD"/>
    </w:rPr>
  </w:style>
  <w:style w:type="table" w:styleId="Tabelraster">
    <w:name w:val="Table Grid"/>
    <w:basedOn w:val="Standaardtabel"/>
    <w:uiPriority w:val="39"/>
    <w:rsid w:val="000F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ru/kravas_auto_rindas" TargetMode="External"/><Relationship Id="rId3" Type="http://schemas.openxmlformats.org/officeDocument/2006/relationships/settings" Target="settings.xml"/><Relationship Id="rId7" Type="http://schemas.openxmlformats.org/officeDocument/2006/relationships/hyperlink" Target="https://www.lithuanianborder.eu/yphis/borderQueueInfo.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ica.gov.pl/index_wait.php?p=b&amp;v=ru&amp;k=w" TargetMode="External"/><Relationship Id="rId11" Type="http://schemas.openxmlformats.org/officeDocument/2006/relationships/theme" Target="theme/theme1.xml"/><Relationship Id="rId5" Type="http://schemas.openxmlformats.org/officeDocument/2006/relationships/hyperlink" Target="https://cis-legislation.com/document.fwx?rgn=10874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pk.gov.b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5</Pages>
  <Words>2022</Words>
  <Characters>11121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Mansour</dc:creator>
  <cp:keywords/>
  <dc:description/>
  <cp:lastModifiedBy>Thomas Mansour</cp:lastModifiedBy>
  <cp:revision>144</cp:revision>
  <dcterms:created xsi:type="dcterms:W3CDTF">2022-04-11T15:42:00Z</dcterms:created>
  <dcterms:modified xsi:type="dcterms:W3CDTF">2022-04-13T09:46:00Z</dcterms:modified>
</cp:coreProperties>
</file>